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B7360" w14:textId="77777777" w:rsidR="002B6FD6" w:rsidRDefault="002B6FD6">
      <w:pPr>
        <w:tabs>
          <w:tab w:val="left" w:pos="7290"/>
        </w:tabs>
        <w:rPr>
          <w:rFonts w:ascii="Calibri" w:eastAsia="Calibri" w:hAnsi="Calibri" w:cs="Calibri"/>
          <w:b/>
          <w:color w:val="666699"/>
        </w:rPr>
      </w:pPr>
    </w:p>
    <w:p w14:paraId="29B62702" w14:textId="77777777" w:rsidR="002B6FD6" w:rsidRDefault="00000000">
      <w:pPr>
        <w:pBdr>
          <w:top w:val="nil"/>
          <w:left w:val="nil"/>
          <w:bottom w:val="nil"/>
          <w:right w:val="nil"/>
          <w:between w:val="nil"/>
        </w:pBdr>
        <w:jc w:val="both"/>
        <w:rPr>
          <w:rFonts w:ascii="Verdana" w:eastAsia="Verdana" w:hAnsi="Verdana" w:cs="Verdana"/>
          <w:b/>
          <w:color w:val="CA7700"/>
          <w:sz w:val="26"/>
          <w:szCs w:val="26"/>
        </w:rPr>
      </w:pPr>
      <w:r>
        <w:rPr>
          <w:rFonts w:ascii="Verdana" w:eastAsia="Verdana" w:hAnsi="Verdana" w:cs="Verdana"/>
          <w:b/>
          <w:color w:val="CA7700"/>
          <w:sz w:val="26"/>
          <w:szCs w:val="26"/>
        </w:rPr>
        <w:t>Module 2: Legal Issues and Agency Liability: Guidance for the Field</w:t>
      </w:r>
    </w:p>
    <w:p w14:paraId="4C033864" w14:textId="77777777" w:rsidR="002B6FD6" w:rsidRDefault="00000000">
      <w:pPr>
        <w:tabs>
          <w:tab w:val="left" w:pos="1633"/>
        </w:tabs>
        <w:rPr>
          <w:rFonts w:ascii="Calibri" w:eastAsia="Calibri" w:hAnsi="Calibri" w:cs="Calibri"/>
          <w:b/>
          <w:color w:val="666699"/>
        </w:rPr>
      </w:pPr>
      <w:r>
        <w:rPr>
          <w:rFonts w:ascii="Calibri" w:eastAsia="Calibri" w:hAnsi="Calibri" w:cs="Calibri"/>
          <w:b/>
          <w:color w:val="666699"/>
        </w:rPr>
        <w:tab/>
      </w:r>
    </w:p>
    <w:p w14:paraId="329724CD" w14:textId="77777777" w:rsidR="002B6FD6" w:rsidRDefault="00000000">
      <w:pPr>
        <w:tabs>
          <w:tab w:val="left" w:pos="7290"/>
        </w:tabs>
        <w:rPr>
          <w:rFonts w:ascii="Calibri" w:eastAsia="Calibri" w:hAnsi="Calibri" w:cs="Calibri"/>
          <w:b/>
        </w:rPr>
      </w:pPr>
      <w:r>
        <w:rPr>
          <w:rFonts w:ascii="Calibri" w:eastAsia="Calibri" w:hAnsi="Calibri" w:cs="Calibri"/>
          <w:b/>
        </w:rPr>
        <w:t>Time: 10:30 a.m. – 11:45 a.m. (1 hour and 15 minutes)</w:t>
      </w:r>
    </w:p>
    <w:p w14:paraId="6B6BA975" w14:textId="77777777" w:rsidR="002B6FD6" w:rsidRDefault="002B6FD6">
      <w:pPr>
        <w:tabs>
          <w:tab w:val="left" w:pos="7290"/>
        </w:tabs>
        <w:rPr>
          <w:rFonts w:ascii="Calibri" w:eastAsia="Calibri" w:hAnsi="Calibri" w:cs="Calibri"/>
          <w:b/>
        </w:rPr>
      </w:pPr>
    </w:p>
    <w:p w14:paraId="1C50D74E" w14:textId="77777777" w:rsidR="002B6FD6" w:rsidRDefault="00000000">
      <w:pPr>
        <w:tabs>
          <w:tab w:val="left" w:pos="7290"/>
        </w:tabs>
        <w:rPr>
          <w:rFonts w:ascii="Calibri" w:eastAsia="Calibri" w:hAnsi="Calibri" w:cs="Calibri"/>
          <w:b/>
        </w:rPr>
      </w:pPr>
      <w:r>
        <w:rPr>
          <w:rFonts w:ascii="Calibri" w:eastAsia="Calibri" w:hAnsi="Calibri" w:cs="Calibri"/>
          <w:b/>
        </w:rPr>
        <w:t>Training Objectives:</w:t>
      </w:r>
    </w:p>
    <w:p w14:paraId="64609118" w14:textId="77777777" w:rsidR="002B6FD6" w:rsidRDefault="00000000">
      <w:pPr>
        <w:numPr>
          <w:ilvl w:val="0"/>
          <w:numId w:val="14"/>
        </w:numPr>
        <w:pBdr>
          <w:top w:val="nil"/>
          <w:left w:val="nil"/>
          <w:bottom w:val="nil"/>
          <w:right w:val="nil"/>
          <w:between w:val="nil"/>
        </w:pBdr>
        <w:tabs>
          <w:tab w:val="left" w:pos="7290"/>
        </w:tabs>
        <w:rPr>
          <w:rFonts w:ascii="Calibri" w:eastAsia="Calibri" w:hAnsi="Calibri" w:cs="Calibri"/>
          <w:color w:val="000000"/>
        </w:rPr>
      </w:pPr>
      <w:r>
        <w:rPr>
          <w:rFonts w:ascii="Calibri" w:eastAsia="Calibri" w:hAnsi="Calibri" w:cs="Calibri"/>
          <w:color w:val="000000"/>
        </w:rPr>
        <w:t>Identify the steps to take to prevent or mitigate legal liability through the investigative process.</w:t>
      </w:r>
    </w:p>
    <w:p w14:paraId="67AB23AD" w14:textId="77777777" w:rsidR="002B6FD6" w:rsidRDefault="00000000">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Understand the use of, and the difference between, Miranda and Garrity, as required by PREA standard </w:t>
      </w:r>
      <w:proofErr w:type="gramStart"/>
      <w:r>
        <w:rPr>
          <w:rFonts w:ascii="Calibri" w:eastAsia="Calibri" w:hAnsi="Calibri" w:cs="Calibri"/>
          <w:color w:val="000000"/>
        </w:rPr>
        <w:t>115.(</w:t>
      </w:r>
      <w:proofErr w:type="gramEnd"/>
      <w:r>
        <w:rPr>
          <w:rFonts w:ascii="Calibri" w:eastAsia="Calibri" w:hAnsi="Calibri" w:cs="Calibri"/>
          <w:color w:val="000000"/>
        </w:rPr>
        <w:t>3)34.</w:t>
      </w:r>
    </w:p>
    <w:p w14:paraId="2B849B82" w14:textId="77777777" w:rsidR="002B6FD6" w:rsidRDefault="00000000">
      <w:pPr>
        <w:numPr>
          <w:ilvl w:val="0"/>
          <w:numId w:val="1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Apply an understanding of Miranda and Garrity to conducting successful investigations.</w:t>
      </w:r>
    </w:p>
    <w:p w14:paraId="194EA724" w14:textId="77777777" w:rsidR="002B6FD6" w:rsidRDefault="002B6FD6">
      <w:pPr>
        <w:tabs>
          <w:tab w:val="left" w:pos="7290"/>
        </w:tabs>
        <w:rPr>
          <w:rFonts w:ascii="Calibri" w:eastAsia="Calibri" w:hAnsi="Calibri" w:cs="Calibri"/>
        </w:rPr>
      </w:pPr>
    </w:p>
    <w:p w14:paraId="796ECC8B" w14:textId="77777777" w:rsidR="002B6FD6" w:rsidRDefault="00000000">
      <w:pPr>
        <w:tabs>
          <w:tab w:val="left" w:pos="7290"/>
        </w:tabs>
        <w:rPr>
          <w:rFonts w:ascii="Calibri" w:eastAsia="Calibri" w:hAnsi="Calibri" w:cs="Calibri"/>
          <w:b/>
        </w:rPr>
      </w:pPr>
      <w:r>
        <w:rPr>
          <w:rFonts w:ascii="Calibri" w:eastAsia="Calibri" w:hAnsi="Calibri" w:cs="Calibri"/>
          <w:b/>
        </w:rPr>
        <w:t>Materials Needed:</w:t>
      </w:r>
    </w:p>
    <w:p w14:paraId="2AA9E0BE" w14:textId="77777777" w:rsidR="002B6FD6" w:rsidRDefault="00000000">
      <w:pPr>
        <w:tabs>
          <w:tab w:val="left" w:pos="7290"/>
        </w:tabs>
        <w:spacing w:line="276" w:lineRule="auto"/>
        <w:ind w:left="360"/>
        <w:rPr>
          <w:rFonts w:ascii="Calibri" w:eastAsia="Calibri" w:hAnsi="Calibri" w:cs="Calibri"/>
        </w:rPr>
      </w:pPr>
      <w:r>
        <w:rPr>
          <w:rFonts w:ascii="Calibri" w:eastAsia="Calibri" w:hAnsi="Calibri" w:cs="Calibri"/>
        </w:rPr>
        <w:t>1. Easel pad and markers</w:t>
      </w:r>
    </w:p>
    <w:p w14:paraId="521F9065" w14:textId="77777777" w:rsidR="002B6FD6" w:rsidRDefault="00000000">
      <w:pPr>
        <w:pBdr>
          <w:top w:val="nil"/>
          <w:left w:val="nil"/>
          <w:bottom w:val="nil"/>
          <w:right w:val="nil"/>
          <w:between w:val="nil"/>
        </w:pBdr>
        <w:tabs>
          <w:tab w:val="center" w:pos="4320"/>
          <w:tab w:val="right" w:pos="8640"/>
        </w:tabs>
        <w:spacing w:line="276" w:lineRule="auto"/>
        <w:ind w:left="360"/>
        <w:jc w:val="both"/>
        <w:rPr>
          <w:rFonts w:ascii="Calibri" w:eastAsia="Calibri" w:hAnsi="Calibri" w:cs="Calibri"/>
          <w:color w:val="000000"/>
        </w:rPr>
      </w:pPr>
      <w:r>
        <w:rPr>
          <w:rFonts w:ascii="Calibri" w:eastAsia="Calibri" w:hAnsi="Calibri" w:cs="Calibri"/>
          <w:color w:val="000000"/>
        </w:rPr>
        <w:t xml:space="preserve">2. </w:t>
      </w:r>
      <w:r>
        <w:rPr>
          <w:rFonts w:ascii="Calibri" w:eastAsia="Calibri" w:hAnsi="Calibri" w:cs="Calibri"/>
          <w:color w:val="000000"/>
        </w:rPr>
        <w:t>PowerPoint® player/machine (</w:t>
      </w:r>
      <w:r>
        <w:rPr>
          <w:rFonts w:ascii="Calibri" w:eastAsia="Calibri" w:hAnsi="Calibri" w:cs="Calibri"/>
        </w:rPr>
        <w:t>laptop</w:t>
      </w:r>
      <w:r>
        <w:rPr>
          <w:rFonts w:ascii="Calibri" w:eastAsia="Calibri" w:hAnsi="Calibri" w:cs="Calibri"/>
          <w:color w:val="000000"/>
        </w:rPr>
        <w:t xml:space="preserve"> computer and LCD projector)</w:t>
      </w:r>
    </w:p>
    <w:p w14:paraId="1FF35573" w14:textId="77777777" w:rsidR="002B6FD6" w:rsidRDefault="00000000">
      <w:pPr>
        <w:pBdr>
          <w:top w:val="nil"/>
          <w:left w:val="nil"/>
          <w:bottom w:val="nil"/>
          <w:right w:val="nil"/>
          <w:between w:val="nil"/>
        </w:pBdr>
        <w:tabs>
          <w:tab w:val="center" w:pos="4320"/>
          <w:tab w:val="right" w:pos="8640"/>
        </w:tabs>
        <w:spacing w:line="276" w:lineRule="auto"/>
        <w:ind w:left="360"/>
        <w:jc w:val="both"/>
        <w:rPr>
          <w:rFonts w:ascii="Calibri" w:eastAsia="Calibri" w:hAnsi="Calibri" w:cs="Calibri"/>
          <w:color w:val="000000"/>
        </w:rPr>
      </w:pPr>
      <w:r>
        <w:rPr>
          <w:rFonts w:ascii="Calibri" w:eastAsia="Calibri" w:hAnsi="Calibri" w:cs="Calibri"/>
          <w:color w:val="000000"/>
        </w:rPr>
        <w:t>3. Screen or monitor</w:t>
      </w:r>
    </w:p>
    <w:p w14:paraId="5521DFB0" w14:textId="1E890B3E" w:rsidR="002B6FD6" w:rsidRDefault="00000000">
      <w:pPr>
        <w:pBdr>
          <w:top w:val="nil"/>
          <w:left w:val="nil"/>
          <w:bottom w:val="nil"/>
          <w:right w:val="nil"/>
          <w:between w:val="nil"/>
        </w:pBdr>
        <w:tabs>
          <w:tab w:val="center" w:pos="4320"/>
          <w:tab w:val="right" w:pos="8640"/>
        </w:tabs>
        <w:spacing w:line="276" w:lineRule="auto"/>
        <w:ind w:left="360"/>
        <w:jc w:val="both"/>
        <w:rPr>
          <w:rFonts w:ascii="Calibri" w:eastAsia="Calibri" w:hAnsi="Calibri" w:cs="Calibri"/>
          <w:color w:val="000000"/>
        </w:rPr>
      </w:pPr>
      <w:r>
        <w:rPr>
          <w:rFonts w:ascii="Calibri" w:eastAsia="Calibri" w:hAnsi="Calibri" w:cs="Calibri"/>
          <w:color w:val="000000"/>
        </w:rPr>
        <w:t xml:space="preserve">4. Handout: </w:t>
      </w:r>
      <w:r w:rsidR="00EC5DB3">
        <w:rPr>
          <w:rFonts w:ascii="Calibri" w:eastAsia="Calibri" w:hAnsi="Calibri" w:cs="Calibri"/>
          <w:color w:val="000000"/>
        </w:rPr>
        <w:t>Legal Issues and Agency Liability Handout</w:t>
      </w:r>
    </w:p>
    <w:p w14:paraId="0F8F44A6" w14:textId="77777777" w:rsidR="002B6FD6" w:rsidRDefault="002B6FD6">
      <w:pPr>
        <w:tabs>
          <w:tab w:val="left" w:pos="7290"/>
        </w:tabs>
        <w:rPr>
          <w:rFonts w:ascii="Calibri" w:eastAsia="Calibri" w:hAnsi="Calibri" w:cs="Calibri"/>
          <w:b/>
        </w:rPr>
      </w:pPr>
    </w:p>
    <w:p w14:paraId="06494264" w14:textId="77777777" w:rsidR="002B6FD6" w:rsidRDefault="00000000">
      <w:pPr>
        <w:tabs>
          <w:tab w:val="left" w:pos="7290"/>
        </w:tabs>
        <w:rPr>
          <w:rFonts w:ascii="Calibri" w:eastAsia="Calibri" w:hAnsi="Calibri" w:cs="Calibri"/>
        </w:rPr>
      </w:pPr>
      <w:r>
        <w:rPr>
          <w:rFonts w:ascii="Calibri" w:eastAsia="Calibri" w:hAnsi="Calibri" w:cs="Calibri"/>
        </w:rPr>
        <w:t xml:space="preserve">This module has been developed over many years and includes legal research and work provided by American University, Washington College of Law, and Jeff Shorba.   </w:t>
      </w:r>
    </w:p>
    <w:p w14:paraId="43849EA4" w14:textId="77777777" w:rsidR="002B6FD6" w:rsidRDefault="002B6FD6">
      <w:pPr>
        <w:tabs>
          <w:tab w:val="left" w:pos="7290"/>
        </w:tabs>
        <w:rPr>
          <w:rFonts w:ascii="Calibri" w:eastAsia="Calibri" w:hAnsi="Calibri" w:cs="Calibri"/>
          <w:b/>
        </w:rPr>
      </w:pPr>
    </w:p>
    <w:p w14:paraId="51C6C8C7" w14:textId="77777777" w:rsidR="002B6FD6" w:rsidRDefault="00000000">
      <w:pPr>
        <w:tabs>
          <w:tab w:val="left" w:pos="7290"/>
        </w:tabs>
        <w:rPr>
          <w:rFonts w:ascii="Calibri" w:eastAsia="Calibri" w:hAnsi="Calibri" w:cs="Calibri"/>
          <w:b/>
        </w:rPr>
      </w:pPr>
      <w:r>
        <w:rPr>
          <w:rFonts w:ascii="Calibri" w:eastAsia="Calibri" w:hAnsi="Calibri" w:cs="Calibri"/>
          <w:b/>
        </w:rPr>
        <w:t>Training Tips:</w:t>
      </w:r>
    </w:p>
    <w:p w14:paraId="521153E8" w14:textId="77777777" w:rsidR="002B6FD6" w:rsidRDefault="00000000">
      <w:pPr>
        <w:numPr>
          <w:ilvl w:val="0"/>
          <w:numId w:val="15"/>
        </w:numPr>
        <w:pBdr>
          <w:top w:val="nil"/>
          <w:left w:val="nil"/>
          <w:bottom w:val="nil"/>
          <w:right w:val="nil"/>
          <w:between w:val="nil"/>
        </w:pBdr>
        <w:tabs>
          <w:tab w:val="center" w:pos="4320"/>
          <w:tab w:val="right" w:pos="8640"/>
        </w:tabs>
        <w:spacing w:after="120" w:line="276" w:lineRule="auto"/>
        <w:jc w:val="both"/>
        <w:rPr>
          <w:rFonts w:ascii="Calibri" w:eastAsia="Calibri" w:hAnsi="Calibri" w:cs="Calibri"/>
          <w:color w:val="000000"/>
        </w:rPr>
      </w:pPr>
      <w:r>
        <w:rPr>
          <w:rFonts w:ascii="Calibri" w:eastAsia="Calibri" w:hAnsi="Calibri" w:cs="Calibri"/>
          <w:color w:val="000000"/>
        </w:rPr>
        <w:t>Trainers should consider inviting a representative from the agency’s Human Resources or Legal Department to co-present or present this module. This may enhance the discussion of the case law.</w:t>
      </w:r>
    </w:p>
    <w:p w14:paraId="7DCCCE68" w14:textId="77777777" w:rsidR="002B6FD6" w:rsidRDefault="00000000">
      <w:pPr>
        <w:numPr>
          <w:ilvl w:val="0"/>
          <w:numId w:val="15"/>
        </w:numPr>
        <w:pBdr>
          <w:top w:val="nil"/>
          <w:left w:val="nil"/>
          <w:bottom w:val="nil"/>
          <w:right w:val="nil"/>
          <w:between w:val="nil"/>
        </w:pBdr>
        <w:tabs>
          <w:tab w:val="center" w:pos="4320"/>
          <w:tab w:val="right" w:pos="8640"/>
        </w:tabs>
        <w:spacing w:after="120" w:line="276" w:lineRule="auto"/>
        <w:jc w:val="both"/>
        <w:rPr>
          <w:rFonts w:ascii="Calibri" w:eastAsia="Calibri" w:hAnsi="Calibri" w:cs="Calibri"/>
          <w:color w:val="000000"/>
        </w:rPr>
      </w:pPr>
      <w:r>
        <w:rPr>
          <w:rFonts w:ascii="Calibri" w:eastAsia="Calibri" w:hAnsi="Calibri" w:cs="Calibri"/>
          <w:color w:val="000000"/>
        </w:rPr>
        <w:t xml:space="preserve">Trainers may want to add lawsuits specific to their agency or their state to this module to engage their audience. Additionally, trainers should view the case law provided in this module </w:t>
      </w:r>
      <w:r>
        <w:rPr>
          <w:rFonts w:ascii="Calibri" w:eastAsia="Calibri" w:hAnsi="Calibri" w:cs="Calibri"/>
        </w:rPr>
        <w:t>as a suggestion</w:t>
      </w:r>
      <w:r>
        <w:rPr>
          <w:rFonts w:ascii="Calibri" w:eastAsia="Calibri" w:hAnsi="Calibri" w:cs="Calibri"/>
          <w:color w:val="000000"/>
        </w:rPr>
        <w:t xml:space="preserve"> – remove cases that are not appropriate for your agency, such as those specific to juvenile/adult. Include those cases that seem most applicable to the training participants and your agency.    </w:t>
      </w:r>
    </w:p>
    <w:p w14:paraId="351777E6" w14:textId="77777777" w:rsidR="002B6FD6" w:rsidRDefault="00000000">
      <w:pPr>
        <w:numPr>
          <w:ilvl w:val="0"/>
          <w:numId w:val="15"/>
        </w:numPr>
        <w:pBdr>
          <w:top w:val="nil"/>
          <w:left w:val="nil"/>
          <w:bottom w:val="nil"/>
          <w:right w:val="nil"/>
          <w:between w:val="nil"/>
        </w:pBdr>
        <w:tabs>
          <w:tab w:val="center" w:pos="4320"/>
          <w:tab w:val="right" w:pos="8640"/>
        </w:tabs>
        <w:spacing w:after="120" w:line="276" w:lineRule="auto"/>
        <w:jc w:val="both"/>
        <w:rPr>
          <w:rFonts w:ascii="Calibri" w:eastAsia="Calibri" w:hAnsi="Calibri" w:cs="Calibri"/>
          <w:color w:val="000000"/>
        </w:rPr>
        <w:sectPr w:rsidR="002B6FD6" w:rsidSect="00767B6D">
          <w:headerReference w:type="default" r:id="rId11"/>
          <w:footerReference w:type="default" r:id="rId12"/>
          <w:pgSz w:w="12240" w:h="15840"/>
          <w:pgMar w:top="1440" w:right="1440" w:bottom="1440" w:left="1440" w:header="1296" w:footer="432" w:gutter="0"/>
          <w:pgNumType w:start="1"/>
          <w:cols w:space="720"/>
        </w:sectPr>
      </w:pPr>
      <w:r>
        <w:rPr>
          <w:rFonts w:ascii="Calibri" w:eastAsia="Calibri" w:hAnsi="Calibri" w:cs="Calibri"/>
          <w:color w:val="000000"/>
        </w:rPr>
        <w:t xml:space="preserve">An investigation mapping scenario specific to issues addressed in this module has been provided and is located at the end of the module. If you remove slides from this training, </w:t>
      </w:r>
    </w:p>
    <w:p w14:paraId="605F7FCE" w14:textId="77777777" w:rsidR="002B6FD6" w:rsidRDefault="00000000">
      <w:pPr>
        <w:pBdr>
          <w:top w:val="nil"/>
          <w:left w:val="nil"/>
          <w:bottom w:val="nil"/>
          <w:right w:val="nil"/>
          <w:between w:val="nil"/>
        </w:pBdr>
        <w:tabs>
          <w:tab w:val="center" w:pos="4320"/>
          <w:tab w:val="right" w:pos="8640"/>
        </w:tabs>
        <w:spacing w:after="120" w:line="276" w:lineRule="auto"/>
        <w:ind w:left="720"/>
        <w:jc w:val="both"/>
        <w:rPr>
          <w:rFonts w:ascii="Calibri" w:eastAsia="Calibri" w:hAnsi="Calibri" w:cs="Calibri"/>
          <w:color w:val="000000"/>
        </w:rPr>
      </w:pPr>
      <w:r>
        <w:rPr>
          <w:rFonts w:ascii="Calibri" w:eastAsia="Calibri" w:hAnsi="Calibri" w:cs="Calibri"/>
          <w:color w:val="000000"/>
        </w:rPr>
        <w:lastRenderedPageBreak/>
        <w:t>consider inserting the Scenario activity twice: once following the Miranda and Garrity section at the beginning of Module 2, and once at the end of Module 2. Have participants conduct the Scenario activity following the Miranda and Garrity section and then report out. At the end of the module</w:t>
      </w:r>
      <w:proofErr w:type="gramStart"/>
      <w:r>
        <w:rPr>
          <w:rFonts w:ascii="Calibri" w:eastAsia="Calibri" w:hAnsi="Calibri" w:cs="Calibri"/>
          <w:color w:val="000000"/>
        </w:rPr>
        <w:t>, have</w:t>
      </w:r>
      <w:proofErr w:type="gramEnd"/>
      <w:r>
        <w:rPr>
          <w:rFonts w:ascii="Calibri" w:eastAsia="Calibri" w:hAnsi="Calibri" w:cs="Calibri"/>
          <w:color w:val="000000"/>
        </w:rPr>
        <w:t xml:space="preserve"> participants re-form their previous groups and again conduct the Scenario activity, deciding what they would do differently following the second half of the module. </w:t>
      </w:r>
    </w:p>
    <w:p w14:paraId="4AB6E617" w14:textId="77777777" w:rsidR="002B6FD6" w:rsidRDefault="00000000">
      <w:pPr>
        <w:numPr>
          <w:ilvl w:val="0"/>
          <w:numId w:val="15"/>
        </w:numPr>
        <w:pBdr>
          <w:top w:val="nil"/>
          <w:left w:val="nil"/>
          <w:bottom w:val="nil"/>
          <w:right w:val="nil"/>
          <w:between w:val="nil"/>
        </w:pBdr>
        <w:tabs>
          <w:tab w:val="center" w:pos="4320"/>
          <w:tab w:val="right" w:pos="8640"/>
        </w:tabs>
        <w:spacing w:after="120" w:line="276" w:lineRule="auto"/>
        <w:jc w:val="both"/>
        <w:rPr>
          <w:rFonts w:ascii="Calibri" w:eastAsia="Calibri" w:hAnsi="Calibri" w:cs="Calibri"/>
        </w:rPr>
      </w:pPr>
      <w:r>
        <w:rPr>
          <w:rFonts w:ascii="Calibri" w:eastAsia="Calibri" w:hAnsi="Calibri" w:cs="Calibri"/>
          <w:color w:val="000000"/>
        </w:rPr>
        <w:t xml:space="preserve">Be advised that this module may contain material that utilizes concepts and language that may be upsetting or difficult for some participants. This may include statements referring to genitalia, sexual harassment, sexual abuse, trauma and suicide. Videos used may also contain profanity. Please review all materials prior to </w:t>
      </w:r>
      <w:proofErr w:type="gramStart"/>
      <w:r>
        <w:rPr>
          <w:rFonts w:ascii="Calibri" w:eastAsia="Calibri" w:hAnsi="Calibri" w:cs="Calibri"/>
          <w:color w:val="000000"/>
        </w:rPr>
        <w:t>using</w:t>
      </w:r>
      <w:proofErr w:type="gramEnd"/>
      <w:r>
        <w:rPr>
          <w:rFonts w:ascii="Calibri" w:eastAsia="Calibri" w:hAnsi="Calibri" w:cs="Calibri"/>
          <w:color w:val="000000"/>
        </w:rPr>
        <w:t xml:space="preserve"> to ensure they are appropriate for use in your agency and make substitutions where needed. You should also consider providing a general notice to participants at the beginning of each training session.</w:t>
      </w:r>
    </w:p>
    <w:p w14:paraId="65A5DB8B" w14:textId="77777777" w:rsidR="002B6FD6" w:rsidRDefault="00000000">
      <w:pPr>
        <w:numPr>
          <w:ilvl w:val="0"/>
          <w:numId w:val="15"/>
        </w:numPr>
        <w:spacing w:after="120" w:line="276" w:lineRule="auto"/>
        <w:jc w:val="both"/>
        <w:rPr>
          <w:rFonts w:ascii="Calibri" w:eastAsia="Calibri" w:hAnsi="Calibri" w:cs="Calibri"/>
          <w:color w:val="000000"/>
        </w:rPr>
      </w:pPr>
      <w:r>
        <w:rPr>
          <w:rFonts w:ascii="Calibri" w:eastAsia="Calibri" w:hAnsi="Calibri" w:cs="Calibri"/>
        </w:rPr>
        <w:t xml:space="preserve">Please note that this module was developed specifically for facilities that use the Adult Prisons and Jail or Juvenile PREA Standards. Facilities using the Community Confinement or Lockup standards should review all standard </w:t>
      </w:r>
      <w:r>
        <w:rPr>
          <w:rFonts w:ascii="Calibri" w:eastAsia="Calibri" w:hAnsi="Calibri" w:cs="Calibri"/>
        </w:rPr>
        <w:t>references to ensure that the content and language is appropriate for their facility type and inmate/resident population and adjust the material as needed to their specific circumstance.</w:t>
      </w:r>
    </w:p>
    <w:p w14:paraId="26E43F83" w14:textId="77777777" w:rsidR="002B6FD6" w:rsidRDefault="002B6FD6">
      <w:pPr>
        <w:pBdr>
          <w:top w:val="nil"/>
          <w:left w:val="nil"/>
          <w:bottom w:val="nil"/>
          <w:right w:val="nil"/>
          <w:between w:val="nil"/>
        </w:pBdr>
        <w:tabs>
          <w:tab w:val="center" w:pos="4320"/>
          <w:tab w:val="right" w:pos="8640"/>
        </w:tabs>
        <w:spacing w:after="120" w:line="276" w:lineRule="auto"/>
        <w:ind w:left="720"/>
        <w:jc w:val="both"/>
        <w:rPr>
          <w:rFonts w:ascii="Calibri" w:eastAsia="Calibri" w:hAnsi="Calibri" w:cs="Calibri"/>
          <w:color w:val="000000"/>
        </w:rPr>
      </w:pPr>
    </w:p>
    <w:p w14:paraId="1D653A2A" w14:textId="77777777" w:rsidR="002B6FD6" w:rsidRDefault="002B6FD6">
      <w:pPr>
        <w:pBdr>
          <w:top w:val="nil"/>
          <w:left w:val="nil"/>
          <w:bottom w:val="nil"/>
          <w:right w:val="nil"/>
          <w:between w:val="nil"/>
        </w:pBdr>
        <w:tabs>
          <w:tab w:val="center" w:pos="4320"/>
          <w:tab w:val="right" w:pos="8640"/>
        </w:tabs>
        <w:spacing w:after="120" w:line="276" w:lineRule="auto"/>
        <w:jc w:val="both"/>
        <w:rPr>
          <w:rFonts w:ascii="Calibri" w:eastAsia="Calibri" w:hAnsi="Calibri" w:cs="Calibri"/>
          <w:color w:val="000000"/>
        </w:rPr>
      </w:pPr>
    </w:p>
    <w:p w14:paraId="4F75323A" w14:textId="77777777" w:rsidR="002B6FD6" w:rsidRDefault="002B6FD6">
      <w:pPr>
        <w:pBdr>
          <w:top w:val="nil"/>
          <w:left w:val="nil"/>
          <w:bottom w:val="nil"/>
          <w:right w:val="nil"/>
          <w:between w:val="nil"/>
        </w:pBdr>
        <w:tabs>
          <w:tab w:val="center" w:pos="4320"/>
          <w:tab w:val="right" w:pos="8640"/>
        </w:tabs>
        <w:spacing w:after="120" w:line="276" w:lineRule="auto"/>
        <w:jc w:val="both"/>
        <w:rPr>
          <w:rFonts w:ascii="Calibri" w:eastAsia="Calibri" w:hAnsi="Calibri" w:cs="Calibri"/>
          <w:color w:val="000000"/>
        </w:rPr>
        <w:sectPr w:rsidR="002B6FD6" w:rsidSect="00767B6D">
          <w:headerReference w:type="default" r:id="rId13"/>
          <w:footerReference w:type="default" r:id="rId14"/>
          <w:pgSz w:w="12240" w:h="15840"/>
          <w:pgMar w:top="1440" w:right="1440" w:bottom="1440" w:left="1440" w:header="720" w:footer="720" w:gutter="0"/>
          <w:cols w:space="720"/>
        </w:sectPr>
      </w:pPr>
    </w:p>
    <w:p w14:paraId="5E14B429" w14:textId="77777777" w:rsidR="002B6FD6" w:rsidRDefault="002B6FD6">
      <w:pPr>
        <w:pBdr>
          <w:top w:val="nil"/>
          <w:left w:val="nil"/>
          <w:bottom w:val="nil"/>
          <w:right w:val="nil"/>
          <w:between w:val="nil"/>
        </w:pBdr>
        <w:tabs>
          <w:tab w:val="center" w:pos="4320"/>
          <w:tab w:val="right" w:pos="8640"/>
        </w:tabs>
        <w:spacing w:after="120" w:line="276" w:lineRule="auto"/>
        <w:jc w:val="both"/>
        <w:rPr>
          <w:rFonts w:ascii="Calibri" w:eastAsia="Calibri" w:hAnsi="Calibri" w:cs="Calibri"/>
          <w:color w:val="000000"/>
        </w:rPr>
      </w:pPr>
    </w:p>
    <w:tbl>
      <w:tblPr>
        <w:tblStyle w:val="a"/>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6570"/>
        <w:gridCol w:w="1890"/>
      </w:tblGrid>
      <w:tr w:rsidR="002B6FD6" w14:paraId="6B5D563A" w14:textId="77777777">
        <w:tc>
          <w:tcPr>
            <w:tcW w:w="900" w:type="dxa"/>
            <w:tcBorders>
              <w:top w:val="single" w:sz="4" w:space="0" w:color="000000"/>
              <w:left w:val="single" w:sz="4" w:space="0" w:color="000000"/>
              <w:bottom w:val="single" w:sz="4" w:space="0" w:color="000000"/>
              <w:right w:val="single" w:sz="4" w:space="0" w:color="000000"/>
            </w:tcBorders>
            <w:shd w:val="clear" w:color="auto" w:fill="E6E6E6"/>
          </w:tcPr>
          <w:p w14:paraId="5B50619C" w14:textId="77777777" w:rsidR="002B6FD6" w:rsidRDefault="00000000">
            <w:pPr>
              <w:jc w:val="center"/>
              <w:rPr>
                <w:rFonts w:ascii="Calibri" w:eastAsia="Calibri" w:hAnsi="Calibri" w:cs="Calibri"/>
                <w:b/>
                <w:color w:val="666699"/>
              </w:rPr>
            </w:pPr>
            <w:r>
              <w:rPr>
                <w:rFonts w:ascii="Calibri" w:eastAsia="Calibri" w:hAnsi="Calibri" w:cs="Calibri"/>
                <w:b/>
                <w:color w:val="666699"/>
              </w:rPr>
              <w:t>Time</w:t>
            </w:r>
          </w:p>
        </w:tc>
        <w:tc>
          <w:tcPr>
            <w:tcW w:w="6570" w:type="dxa"/>
            <w:tcBorders>
              <w:top w:val="single" w:sz="4" w:space="0" w:color="000000"/>
              <w:left w:val="single" w:sz="4" w:space="0" w:color="000000"/>
              <w:bottom w:val="single" w:sz="4" w:space="0" w:color="000000"/>
              <w:right w:val="single" w:sz="4" w:space="0" w:color="000000"/>
            </w:tcBorders>
            <w:shd w:val="clear" w:color="auto" w:fill="E6E6E6"/>
          </w:tcPr>
          <w:p w14:paraId="35BD79E9" w14:textId="77777777" w:rsidR="002B6FD6" w:rsidRDefault="00000000">
            <w:pPr>
              <w:tabs>
                <w:tab w:val="left" w:pos="7290"/>
              </w:tabs>
              <w:spacing w:line="276" w:lineRule="auto"/>
              <w:jc w:val="center"/>
              <w:rPr>
                <w:rFonts w:ascii="Calibri" w:eastAsia="Calibri" w:hAnsi="Calibri" w:cs="Calibri"/>
                <w:b/>
                <w:color w:val="666699"/>
              </w:rPr>
            </w:pPr>
            <w:r>
              <w:rPr>
                <w:rFonts w:ascii="Calibri" w:eastAsia="Calibri" w:hAnsi="Calibri" w:cs="Calibri"/>
                <w:b/>
                <w:color w:val="666699"/>
              </w:rPr>
              <w:t>Lecture Notes</w:t>
            </w:r>
          </w:p>
        </w:tc>
        <w:tc>
          <w:tcPr>
            <w:tcW w:w="1890" w:type="dxa"/>
            <w:tcBorders>
              <w:top w:val="single" w:sz="4" w:space="0" w:color="000000"/>
              <w:left w:val="single" w:sz="4" w:space="0" w:color="000000"/>
              <w:bottom w:val="single" w:sz="4" w:space="0" w:color="000000"/>
              <w:right w:val="single" w:sz="4" w:space="0" w:color="000000"/>
            </w:tcBorders>
            <w:shd w:val="clear" w:color="auto" w:fill="E6E6E6"/>
          </w:tcPr>
          <w:p w14:paraId="40FAAA20" w14:textId="77777777" w:rsidR="002B6FD6" w:rsidRDefault="00000000">
            <w:pPr>
              <w:tabs>
                <w:tab w:val="left" w:pos="7290"/>
              </w:tabs>
              <w:jc w:val="center"/>
              <w:rPr>
                <w:rFonts w:ascii="Calibri" w:eastAsia="Calibri" w:hAnsi="Calibri" w:cs="Calibri"/>
                <w:b/>
                <w:color w:val="365F91"/>
              </w:rPr>
            </w:pPr>
            <w:r>
              <w:rPr>
                <w:rFonts w:ascii="Calibri" w:eastAsia="Calibri" w:hAnsi="Calibri" w:cs="Calibri"/>
                <w:b/>
                <w:color w:val="365F91"/>
              </w:rPr>
              <w:t>Teaching tips</w:t>
            </w:r>
          </w:p>
        </w:tc>
      </w:tr>
      <w:tr w:rsidR="002B6FD6" w14:paraId="203B8361" w14:textId="77777777">
        <w:tc>
          <w:tcPr>
            <w:tcW w:w="900" w:type="dxa"/>
            <w:tcBorders>
              <w:top w:val="single" w:sz="4" w:space="0" w:color="000000"/>
              <w:left w:val="single" w:sz="4" w:space="0" w:color="000000"/>
              <w:bottom w:val="single" w:sz="4" w:space="0" w:color="000000"/>
              <w:right w:val="single" w:sz="4" w:space="0" w:color="000000"/>
            </w:tcBorders>
          </w:tcPr>
          <w:p w14:paraId="76C1EFA5" w14:textId="77777777" w:rsidR="002B6FD6" w:rsidRDefault="00000000">
            <w:pPr>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9138175" w14:textId="77777777" w:rsidR="002B6FD6" w:rsidRDefault="00000000">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Module 2 Legal Issues and Agency Liability: </w:t>
            </w:r>
          </w:p>
          <w:p w14:paraId="4C5A2A5D" w14:textId="77777777" w:rsidR="002B6FD6" w:rsidRDefault="00000000">
            <w:pPr>
              <w:widowControl w:val="0"/>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 xml:space="preserve">What Investigators Should Know </w:t>
            </w:r>
          </w:p>
          <w:p w14:paraId="3A1808DA" w14:textId="77777777" w:rsidR="002B6FD6" w:rsidRDefault="00000000">
            <w:pPr>
              <w:spacing w:line="276" w:lineRule="auto"/>
              <w:rPr>
                <w:rFonts w:ascii="Calibri" w:eastAsia="Calibri" w:hAnsi="Calibri" w:cs="Calibri"/>
              </w:rPr>
            </w:pPr>
            <w:r>
              <w:rPr>
                <w:rFonts w:ascii="Calibri" w:eastAsia="Calibri" w:hAnsi="Calibri" w:cs="Calibri"/>
              </w:rPr>
              <w:t>In this module we are going to talk about legal liability in investigating allegations of sexual abuse and sexual harassment in custodial settings.</w:t>
            </w:r>
          </w:p>
          <w:p w14:paraId="47186F95" w14:textId="77777777" w:rsidR="002B6FD6" w:rsidRDefault="002B6FD6">
            <w:pPr>
              <w:spacing w:line="276" w:lineRule="auto"/>
              <w:rPr>
                <w:rFonts w:ascii="Calibri" w:eastAsia="Calibri" w:hAnsi="Calibri" w:cs="Calibri"/>
              </w:rPr>
            </w:pPr>
          </w:p>
          <w:p w14:paraId="0F7D7F8C" w14:textId="77777777" w:rsidR="002B6FD6" w:rsidRDefault="00000000">
            <w:pPr>
              <w:spacing w:line="276" w:lineRule="auto"/>
              <w:rPr>
                <w:rFonts w:ascii="Calibri" w:eastAsia="Calibri" w:hAnsi="Calibri" w:cs="Calibri"/>
              </w:rPr>
            </w:pPr>
            <w:r>
              <w:rPr>
                <w:rFonts w:ascii="Calibri" w:eastAsia="Calibri" w:hAnsi="Calibri" w:cs="Calibri"/>
              </w:rPr>
              <w:t>You have influence and a responsibility in your role as an investigator to ensure allegations are responded to in an effective and professional manner. This module is designed to increase your awareness of the liability issues that exist around sexual abuse in confinement settings in general, and in investigating sexual abuse incidents in particular.</w:t>
            </w:r>
          </w:p>
          <w:p w14:paraId="5C92DE39" w14:textId="77777777" w:rsidR="002B6FD6" w:rsidRDefault="002B6FD6">
            <w:pPr>
              <w:spacing w:line="276" w:lineRule="auto"/>
              <w:rPr>
                <w:rFonts w:ascii="Calibri" w:eastAsia="Calibri" w:hAnsi="Calibri" w:cs="Calibri"/>
              </w:rPr>
            </w:pPr>
          </w:p>
          <w:p w14:paraId="09640BAC" w14:textId="77777777" w:rsidR="002B6FD6" w:rsidRDefault="00000000">
            <w:pPr>
              <w:spacing w:line="276" w:lineRule="auto"/>
              <w:rPr>
                <w:rFonts w:ascii="Calibri" w:eastAsia="Calibri" w:hAnsi="Calibri" w:cs="Calibri"/>
              </w:rPr>
            </w:pPr>
            <w:r>
              <w:rPr>
                <w:rFonts w:ascii="Calibri" w:eastAsia="Calibri" w:hAnsi="Calibri" w:cs="Calibri"/>
              </w:rPr>
              <w:t xml:space="preserve">As always, it is important to reach out to your legal department if you have any questions regarding the legality of a situation or a liability you may identify. </w:t>
            </w:r>
          </w:p>
        </w:tc>
        <w:tc>
          <w:tcPr>
            <w:tcW w:w="1890" w:type="dxa"/>
            <w:tcBorders>
              <w:top w:val="single" w:sz="4" w:space="0" w:color="000000"/>
              <w:left w:val="single" w:sz="4" w:space="0" w:color="000000"/>
              <w:bottom w:val="single" w:sz="4" w:space="0" w:color="000000"/>
              <w:right w:val="single" w:sz="4" w:space="0" w:color="000000"/>
            </w:tcBorders>
          </w:tcPr>
          <w:p w14:paraId="5E208C97"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1358D01A" wp14:editId="51343954">
                  <wp:extent cx="508000" cy="342900"/>
                  <wp:effectExtent l="0" t="0" r="0" b="0"/>
                  <wp:docPr id="1161"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21BE6528"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 xml:space="preserve">Legal Issues and Agency Liability:  What Investigators Should Know </w:t>
            </w:r>
          </w:p>
        </w:tc>
      </w:tr>
      <w:tr w:rsidR="002B6FD6" w14:paraId="068E024A" w14:textId="77777777">
        <w:tc>
          <w:tcPr>
            <w:tcW w:w="900" w:type="dxa"/>
            <w:tcBorders>
              <w:top w:val="single" w:sz="4" w:space="0" w:color="000000"/>
              <w:left w:val="single" w:sz="4" w:space="0" w:color="000000"/>
              <w:bottom w:val="single" w:sz="4" w:space="0" w:color="000000"/>
              <w:right w:val="single" w:sz="4" w:space="0" w:color="000000"/>
            </w:tcBorders>
          </w:tcPr>
          <w:p w14:paraId="262BDD88" w14:textId="77777777" w:rsidR="002B6FD6" w:rsidRDefault="00000000">
            <w:pP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7BDE7435"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Module 2: Objectives</w:t>
            </w:r>
          </w:p>
          <w:p w14:paraId="201D123D"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5B883B15" wp14:editId="144F803B">
                  <wp:extent cx="2804160" cy="2103120"/>
                  <wp:effectExtent l="38100" t="38100" r="38100" b="38100"/>
                  <wp:docPr id="116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1890" w:type="dxa"/>
            <w:tcBorders>
              <w:top w:val="single" w:sz="4" w:space="0" w:color="000000"/>
              <w:left w:val="single" w:sz="4" w:space="0" w:color="000000"/>
              <w:bottom w:val="single" w:sz="4" w:space="0" w:color="000000"/>
              <w:right w:val="single" w:sz="4" w:space="0" w:color="000000"/>
            </w:tcBorders>
          </w:tcPr>
          <w:p w14:paraId="165160BD"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noProof/>
                <w:sz w:val="20"/>
                <w:szCs w:val="20"/>
              </w:rPr>
              <w:drawing>
                <wp:inline distT="0" distB="0" distL="0" distR="0" wp14:anchorId="48F7049D" wp14:editId="4778E92E">
                  <wp:extent cx="508000" cy="342900"/>
                  <wp:effectExtent l="0" t="0" r="0" b="0"/>
                  <wp:docPr id="116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AF8FD70"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Objectives</w:t>
            </w:r>
          </w:p>
          <w:p w14:paraId="4D1F962A" w14:textId="77777777" w:rsidR="002B6FD6" w:rsidRDefault="002B6FD6">
            <w:pPr>
              <w:tabs>
                <w:tab w:val="left" w:pos="420"/>
                <w:tab w:val="center" w:pos="1062"/>
                <w:tab w:val="left" w:pos="7290"/>
              </w:tabs>
              <w:rPr>
                <w:rFonts w:ascii="Calibri" w:eastAsia="Calibri" w:hAnsi="Calibri" w:cs="Calibri"/>
                <w:b/>
                <w:sz w:val="20"/>
                <w:szCs w:val="20"/>
              </w:rPr>
            </w:pPr>
          </w:p>
          <w:p w14:paraId="4FD0B95A" w14:textId="77777777" w:rsidR="002B6FD6" w:rsidRDefault="002B6FD6">
            <w:pPr>
              <w:tabs>
                <w:tab w:val="left" w:pos="420"/>
                <w:tab w:val="center" w:pos="1062"/>
                <w:tab w:val="left" w:pos="7290"/>
              </w:tabs>
              <w:rPr>
                <w:rFonts w:ascii="Calibri" w:eastAsia="Calibri" w:hAnsi="Calibri" w:cs="Calibri"/>
                <w:b/>
                <w:sz w:val="20"/>
                <w:szCs w:val="20"/>
              </w:rPr>
            </w:pPr>
          </w:p>
          <w:p w14:paraId="15638159" w14:textId="77777777" w:rsidR="002B6FD6" w:rsidRDefault="002B6FD6">
            <w:pPr>
              <w:tabs>
                <w:tab w:val="left" w:pos="420"/>
                <w:tab w:val="center" w:pos="1062"/>
                <w:tab w:val="left" w:pos="7290"/>
              </w:tabs>
              <w:rPr>
                <w:rFonts w:ascii="Calibri" w:eastAsia="Calibri" w:hAnsi="Calibri" w:cs="Calibri"/>
                <w:b/>
                <w:sz w:val="20"/>
                <w:szCs w:val="20"/>
              </w:rPr>
            </w:pPr>
          </w:p>
          <w:p w14:paraId="2565EA08" w14:textId="77777777" w:rsidR="002B6FD6" w:rsidRDefault="002B6FD6">
            <w:pPr>
              <w:tabs>
                <w:tab w:val="left" w:pos="420"/>
                <w:tab w:val="center" w:pos="1062"/>
                <w:tab w:val="left" w:pos="7290"/>
              </w:tabs>
              <w:rPr>
                <w:rFonts w:ascii="Calibri" w:eastAsia="Calibri" w:hAnsi="Calibri" w:cs="Calibri"/>
                <w:b/>
                <w:sz w:val="20"/>
                <w:szCs w:val="20"/>
              </w:rPr>
            </w:pPr>
          </w:p>
          <w:p w14:paraId="51CFFF4F" w14:textId="77777777" w:rsidR="002B6FD6" w:rsidRDefault="002B6FD6">
            <w:pPr>
              <w:tabs>
                <w:tab w:val="left" w:pos="420"/>
                <w:tab w:val="center" w:pos="1062"/>
                <w:tab w:val="left" w:pos="7290"/>
              </w:tabs>
              <w:rPr>
                <w:rFonts w:ascii="Calibri" w:eastAsia="Calibri" w:hAnsi="Calibri" w:cs="Calibri"/>
                <w:b/>
                <w:sz w:val="20"/>
                <w:szCs w:val="20"/>
              </w:rPr>
            </w:pPr>
          </w:p>
          <w:p w14:paraId="338261B3" w14:textId="77777777" w:rsidR="002B6FD6" w:rsidRDefault="002B6FD6">
            <w:pPr>
              <w:tabs>
                <w:tab w:val="left" w:pos="420"/>
                <w:tab w:val="center" w:pos="1062"/>
                <w:tab w:val="left" w:pos="7290"/>
              </w:tabs>
              <w:rPr>
                <w:rFonts w:ascii="Calibri" w:eastAsia="Calibri" w:hAnsi="Calibri" w:cs="Calibri"/>
                <w:b/>
                <w:sz w:val="20"/>
                <w:szCs w:val="20"/>
              </w:rPr>
            </w:pPr>
          </w:p>
          <w:p w14:paraId="2BEAEE5D" w14:textId="77777777" w:rsidR="002B6FD6" w:rsidRDefault="002B6FD6">
            <w:pPr>
              <w:tabs>
                <w:tab w:val="left" w:pos="420"/>
                <w:tab w:val="center" w:pos="1062"/>
                <w:tab w:val="left" w:pos="7290"/>
              </w:tabs>
              <w:rPr>
                <w:rFonts w:ascii="Calibri" w:eastAsia="Calibri" w:hAnsi="Calibri" w:cs="Calibri"/>
                <w:b/>
                <w:sz w:val="20"/>
                <w:szCs w:val="20"/>
              </w:rPr>
            </w:pPr>
          </w:p>
          <w:p w14:paraId="6EC7338F" w14:textId="77777777" w:rsidR="002B6FD6" w:rsidRDefault="002B6FD6">
            <w:pPr>
              <w:tabs>
                <w:tab w:val="left" w:pos="420"/>
                <w:tab w:val="center" w:pos="1062"/>
                <w:tab w:val="left" w:pos="7290"/>
              </w:tabs>
              <w:rPr>
                <w:rFonts w:ascii="Calibri" w:eastAsia="Calibri" w:hAnsi="Calibri" w:cs="Calibri"/>
                <w:b/>
                <w:sz w:val="20"/>
                <w:szCs w:val="20"/>
              </w:rPr>
            </w:pPr>
          </w:p>
          <w:p w14:paraId="6B11E39E" w14:textId="77777777" w:rsidR="002B6FD6" w:rsidRDefault="002B6FD6">
            <w:pPr>
              <w:tabs>
                <w:tab w:val="left" w:pos="420"/>
                <w:tab w:val="center" w:pos="1062"/>
                <w:tab w:val="left" w:pos="7290"/>
              </w:tabs>
              <w:rPr>
                <w:rFonts w:ascii="Calibri" w:eastAsia="Calibri" w:hAnsi="Calibri" w:cs="Calibri"/>
                <w:b/>
                <w:sz w:val="20"/>
                <w:szCs w:val="20"/>
              </w:rPr>
            </w:pPr>
          </w:p>
          <w:p w14:paraId="2856092E" w14:textId="77777777" w:rsidR="002B6FD6" w:rsidRDefault="002B6FD6">
            <w:pPr>
              <w:tabs>
                <w:tab w:val="left" w:pos="420"/>
                <w:tab w:val="center" w:pos="1062"/>
                <w:tab w:val="left" w:pos="7290"/>
              </w:tabs>
              <w:rPr>
                <w:rFonts w:ascii="Calibri" w:eastAsia="Calibri" w:hAnsi="Calibri" w:cs="Calibri"/>
                <w:b/>
                <w:sz w:val="20"/>
                <w:szCs w:val="20"/>
              </w:rPr>
            </w:pPr>
          </w:p>
          <w:p w14:paraId="07AAE907" w14:textId="77777777" w:rsidR="002B6FD6" w:rsidRDefault="002B6FD6">
            <w:pPr>
              <w:tabs>
                <w:tab w:val="left" w:pos="420"/>
                <w:tab w:val="center" w:pos="1062"/>
                <w:tab w:val="left" w:pos="7290"/>
              </w:tabs>
              <w:rPr>
                <w:rFonts w:ascii="Calibri" w:eastAsia="Calibri" w:hAnsi="Calibri" w:cs="Calibri"/>
                <w:b/>
                <w:sz w:val="20"/>
                <w:szCs w:val="20"/>
              </w:rPr>
            </w:pPr>
          </w:p>
          <w:p w14:paraId="42BA77AD"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Ask the class if they know what is meant by these terms.</w:t>
            </w:r>
          </w:p>
        </w:tc>
      </w:tr>
      <w:tr w:rsidR="002B6FD6" w14:paraId="57E40B6A" w14:textId="77777777">
        <w:tc>
          <w:tcPr>
            <w:tcW w:w="900" w:type="dxa"/>
            <w:tcBorders>
              <w:top w:val="single" w:sz="4" w:space="0" w:color="000000"/>
              <w:left w:val="single" w:sz="4" w:space="0" w:color="000000"/>
              <w:bottom w:val="single" w:sz="4" w:space="0" w:color="000000"/>
              <w:right w:val="single" w:sz="4" w:space="0" w:color="000000"/>
            </w:tcBorders>
          </w:tcPr>
          <w:p w14:paraId="10FA8D94" w14:textId="77777777" w:rsidR="002B6FD6" w:rsidRDefault="00000000">
            <w:pPr>
              <w:tabs>
                <w:tab w:val="left" w:pos="7290"/>
              </w:tabs>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77161F2F"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Miranda and Garrity</w:t>
            </w:r>
          </w:p>
          <w:p w14:paraId="26B745A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04966401" wp14:editId="768B43FC">
                  <wp:extent cx="2807208" cy="2103120"/>
                  <wp:effectExtent l="38100" t="38100" r="31750" b="30480"/>
                  <wp:docPr id="1165" name="image67.jpg" descr="C:\Users\rbosley\AppData\Local\Microsoft\Windows\Temporary Internet Files\Content.IE5\NN06S66N\MP900309628[1].jpg"/>
                  <wp:cNvGraphicFramePr/>
                  <a:graphic xmlns:a="http://schemas.openxmlformats.org/drawingml/2006/main">
                    <a:graphicData uri="http://schemas.openxmlformats.org/drawingml/2006/picture">
                      <pic:pic xmlns:pic="http://schemas.openxmlformats.org/drawingml/2006/picture">
                        <pic:nvPicPr>
                          <pic:cNvPr id="0" name="image67.jpg" descr="C:\Users\rbosley\AppData\Local\Microsoft\Windows\Temporary Internet Files\Content.IE5\NN06S66N\MP900309628[1].jpg"/>
                          <pic:cNvPicPr preferRelativeResize="0"/>
                        </pic:nvPicPr>
                        <pic:blipFill>
                          <a:blip r:embed="rId17">
                            <a:grayscl/>
                          </a:blip>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5FF83A56" w14:textId="77777777" w:rsidR="002B6FD6" w:rsidRDefault="00000000">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A requirement of PREA standard </w:t>
            </w:r>
            <w:proofErr w:type="gramStart"/>
            <w:r>
              <w:rPr>
                <w:rFonts w:ascii="Calibri" w:eastAsia="Calibri" w:hAnsi="Calibri" w:cs="Calibri"/>
                <w:color w:val="000000"/>
              </w:rPr>
              <w:t>115.(</w:t>
            </w:r>
            <w:proofErr w:type="gramEnd"/>
            <w:r>
              <w:rPr>
                <w:rFonts w:ascii="Calibri" w:eastAsia="Calibri" w:hAnsi="Calibri" w:cs="Calibri"/>
                <w:color w:val="000000"/>
              </w:rPr>
              <w:t xml:space="preserve">3)34 is for </w:t>
            </w:r>
            <w:r>
              <w:rPr>
                <w:rFonts w:ascii="Calibri" w:eastAsia="Calibri" w:hAnsi="Calibri" w:cs="Calibri"/>
              </w:rPr>
              <w:t>investigators to be trained</w:t>
            </w:r>
            <w:r>
              <w:rPr>
                <w:rFonts w:ascii="Calibri" w:eastAsia="Calibri" w:hAnsi="Calibri" w:cs="Calibri"/>
                <w:color w:val="000000"/>
              </w:rPr>
              <w:t xml:space="preserve"> on Miranda and Garrity warnings. </w:t>
            </w:r>
          </w:p>
        </w:tc>
        <w:tc>
          <w:tcPr>
            <w:tcW w:w="1890" w:type="dxa"/>
            <w:tcBorders>
              <w:top w:val="single" w:sz="4" w:space="0" w:color="000000"/>
              <w:left w:val="single" w:sz="4" w:space="0" w:color="000000"/>
              <w:bottom w:val="single" w:sz="4" w:space="0" w:color="000000"/>
              <w:right w:val="single" w:sz="4" w:space="0" w:color="000000"/>
            </w:tcBorders>
          </w:tcPr>
          <w:p w14:paraId="50E2DC31"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14414AEE" wp14:editId="27E43693">
                  <wp:extent cx="508000" cy="342900"/>
                  <wp:effectExtent l="0" t="0" r="0" b="0"/>
                  <wp:docPr id="116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2A2633AC" w14:textId="77777777" w:rsidR="002B6FD6" w:rsidRDefault="00000000">
            <w:pPr>
              <w:tabs>
                <w:tab w:val="left" w:pos="7290"/>
              </w:tabs>
              <w:rPr>
                <w:rFonts w:ascii="Calibri" w:eastAsia="Calibri" w:hAnsi="Calibri" w:cs="Calibri"/>
                <w:b/>
                <w:sz w:val="20"/>
                <w:szCs w:val="20"/>
              </w:rPr>
            </w:pPr>
            <w:r>
              <w:rPr>
                <w:rFonts w:ascii="Calibri" w:eastAsia="Calibri" w:hAnsi="Calibri" w:cs="Calibri"/>
                <w:b/>
                <w:sz w:val="20"/>
                <w:szCs w:val="20"/>
              </w:rPr>
              <w:t>Miranda and Garrity</w:t>
            </w:r>
          </w:p>
          <w:p w14:paraId="1699083B" w14:textId="77777777" w:rsidR="002B6FD6" w:rsidRDefault="002B6FD6">
            <w:pPr>
              <w:tabs>
                <w:tab w:val="left" w:pos="7290"/>
              </w:tabs>
              <w:rPr>
                <w:rFonts w:ascii="Calibri" w:eastAsia="Calibri" w:hAnsi="Calibri" w:cs="Calibri"/>
                <w:b/>
                <w:sz w:val="20"/>
                <w:szCs w:val="20"/>
              </w:rPr>
            </w:pPr>
          </w:p>
          <w:p w14:paraId="07DD8280" w14:textId="77777777" w:rsidR="002B6FD6" w:rsidRDefault="00000000">
            <w:pPr>
              <w:tabs>
                <w:tab w:val="left" w:pos="7290"/>
              </w:tabs>
              <w:rPr>
                <w:rFonts w:ascii="Calibri" w:eastAsia="Calibri" w:hAnsi="Calibri" w:cs="Calibri"/>
                <w:color w:val="336600"/>
                <w:sz w:val="20"/>
                <w:szCs w:val="20"/>
              </w:rPr>
            </w:pPr>
            <w:r>
              <w:rPr>
                <w:rFonts w:ascii="Calibri" w:eastAsia="Calibri" w:hAnsi="Calibri" w:cs="Calibri"/>
                <w:sz w:val="20"/>
                <w:szCs w:val="20"/>
              </w:rPr>
              <w:t xml:space="preserve">Experienced investigators may feel that this is basic information. </w:t>
            </w:r>
            <w:r>
              <w:rPr>
                <w:rFonts w:ascii="Calibri" w:eastAsia="Calibri" w:hAnsi="Calibri" w:cs="Calibri"/>
                <w:sz w:val="20"/>
                <w:szCs w:val="20"/>
              </w:rPr>
              <w:lastRenderedPageBreak/>
              <w:t xml:space="preserve">However, many facility investigators who have little to no investigative training need this information with a robust classroom discussion. Encourage discussion throughout this module. </w:t>
            </w:r>
          </w:p>
        </w:tc>
      </w:tr>
      <w:tr w:rsidR="002B6FD6" w14:paraId="6ADD3C04" w14:textId="77777777">
        <w:tc>
          <w:tcPr>
            <w:tcW w:w="900" w:type="dxa"/>
            <w:tcBorders>
              <w:top w:val="single" w:sz="4" w:space="0" w:color="000000"/>
              <w:left w:val="single" w:sz="4" w:space="0" w:color="000000"/>
              <w:bottom w:val="single" w:sz="4" w:space="0" w:color="000000"/>
              <w:right w:val="single" w:sz="4" w:space="0" w:color="000000"/>
            </w:tcBorders>
          </w:tcPr>
          <w:p w14:paraId="6296D412"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w:t>
            </w:r>
            <w:r>
              <w:rPr>
                <w:rFonts w:ascii="Calibri" w:eastAsia="Calibri" w:hAnsi="Calibri" w:cs="Calibri"/>
                <w:b/>
              </w:rPr>
              <w:t xml:space="preserve"> min</w:t>
            </w:r>
          </w:p>
        </w:tc>
        <w:tc>
          <w:tcPr>
            <w:tcW w:w="6570" w:type="dxa"/>
            <w:tcBorders>
              <w:top w:val="single" w:sz="4" w:space="0" w:color="000000"/>
              <w:left w:val="single" w:sz="4" w:space="0" w:color="000000"/>
              <w:bottom w:val="single" w:sz="4" w:space="0" w:color="000000"/>
              <w:right w:val="single" w:sz="4" w:space="0" w:color="000000"/>
            </w:tcBorders>
          </w:tcPr>
          <w:p w14:paraId="4F52AC53" w14:textId="77777777" w:rsidR="002B6FD6" w:rsidRDefault="00000000">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Video</w:t>
            </w:r>
          </w:p>
          <w:p w14:paraId="31A9DAAC"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790E5C06" wp14:editId="36ED3BFB">
                  <wp:extent cx="2804160" cy="2103120"/>
                  <wp:effectExtent l="38100" t="38100" r="38100" b="38100"/>
                  <wp:docPr id="116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1890" w:type="dxa"/>
            <w:tcBorders>
              <w:top w:val="single" w:sz="4" w:space="0" w:color="000000"/>
              <w:left w:val="single" w:sz="4" w:space="0" w:color="000000"/>
              <w:bottom w:val="single" w:sz="4" w:space="0" w:color="000000"/>
              <w:right w:val="single" w:sz="4" w:space="0" w:color="000000"/>
            </w:tcBorders>
          </w:tcPr>
          <w:p w14:paraId="5C36CF40" w14:textId="77777777" w:rsidR="002B6FD6" w:rsidRDefault="00000000">
            <w:pPr>
              <w:tabs>
                <w:tab w:val="left" w:pos="7290"/>
              </w:tabs>
              <w:rPr>
                <w:rFonts w:ascii="Calibri" w:eastAsia="Calibri" w:hAnsi="Calibri" w:cs="Calibri"/>
                <w:b/>
                <w:sz w:val="20"/>
                <w:szCs w:val="20"/>
              </w:rPr>
            </w:pPr>
            <w:r>
              <w:rPr>
                <w:rFonts w:ascii="Calibri" w:eastAsia="Calibri" w:hAnsi="Calibri" w:cs="Calibri"/>
                <w:noProof/>
                <w:sz w:val="20"/>
                <w:szCs w:val="20"/>
              </w:rPr>
              <w:drawing>
                <wp:inline distT="0" distB="0" distL="0" distR="0" wp14:anchorId="4622D1F1" wp14:editId="40DCE883">
                  <wp:extent cx="527050" cy="336550"/>
                  <wp:effectExtent l="0" t="0" r="0" b="0"/>
                  <wp:docPr id="1166" name="image68.png" descr="MCj02521470000[1]"/>
                  <wp:cNvGraphicFramePr/>
                  <a:graphic xmlns:a="http://schemas.openxmlformats.org/drawingml/2006/main">
                    <a:graphicData uri="http://schemas.openxmlformats.org/drawingml/2006/picture">
                      <pic:pic xmlns:pic="http://schemas.openxmlformats.org/drawingml/2006/picture">
                        <pic:nvPicPr>
                          <pic:cNvPr id="0" name="image68.png" descr="MCj02521470000[1]"/>
                          <pic:cNvPicPr preferRelativeResize="0"/>
                        </pic:nvPicPr>
                        <pic:blipFill>
                          <a:blip r:embed="rId19"/>
                          <a:srcRect/>
                          <a:stretch>
                            <a:fillRect/>
                          </a:stretch>
                        </pic:blipFill>
                        <pic:spPr>
                          <a:xfrm>
                            <a:off x="0" y="0"/>
                            <a:ext cx="527050" cy="336550"/>
                          </a:xfrm>
                          <a:prstGeom prst="rect">
                            <a:avLst/>
                          </a:prstGeom>
                          <a:ln/>
                        </pic:spPr>
                      </pic:pic>
                    </a:graphicData>
                  </a:graphic>
                </wp:inline>
              </w:drawing>
            </w:r>
          </w:p>
          <w:p w14:paraId="3DB9B121" w14:textId="77777777" w:rsidR="002B6FD6" w:rsidRDefault="002B6FD6">
            <w:pPr>
              <w:tabs>
                <w:tab w:val="left" w:pos="7290"/>
              </w:tabs>
              <w:rPr>
                <w:rFonts w:ascii="Calibri" w:eastAsia="Calibri" w:hAnsi="Calibri" w:cs="Calibri"/>
                <w:b/>
                <w:sz w:val="20"/>
                <w:szCs w:val="20"/>
              </w:rPr>
            </w:pPr>
          </w:p>
          <w:p w14:paraId="17CD0187" w14:textId="77777777" w:rsidR="002B6FD6" w:rsidRDefault="00000000">
            <w:pPr>
              <w:tabs>
                <w:tab w:val="left" w:pos="7290"/>
              </w:tabs>
              <w:rPr>
                <w:rFonts w:ascii="Calibri" w:eastAsia="Calibri" w:hAnsi="Calibri" w:cs="Calibri"/>
                <w:sz w:val="20"/>
                <w:szCs w:val="20"/>
              </w:rPr>
            </w:pPr>
            <w:r>
              <w:rPr>
                <w:rFonts w:ascii="Calibri" w:eastAsia="Calibri" w:hAnsi="Calibri" w:cs="Calibri"/>
                <w:sz w:val="20"/>
                <w:szCs w:val="20"/>
              </w:rPr>
              <w:t xml:space="preserve">It is recommended that trainers consider the inclusion of a video clip here to add humor to the module. One possible video is the Miranda Rights scene from </w:t>
            </w:r>
            <w:r>
              <w:rPr>
                <w:rFonts w:ascii="Calibri" w:eastAsia="Calibri" w:hAnsi="Calibri" w:cs="Calibri"/>
                <w:i/>
                <w:sz w:val="20"/>
                <w:szCs w:val="20"/>
              </w:rPr>
              <w:t>21 Jump Street</w:t>
            </w:r>
            <w:r>
              <w:rPr>
                <w:rFonts w:ascii="Calibri" w:eastAsia="Calibri" w:hAnsi="Calibri" w:cs="Calibri"/>
                <w:sz w:val="20"/>
                <w:szCs w:val="20"/>
              </w:rPr>
              <w:t>, which can be found on YouTube at the following link:</w:t>
            </w:r>
          </w:p>
          <w:p w14:paraId="2EC056E9" w14:textId="77777777" w:rsidR="002B6FD6" w:rsidRDefault="002B6FD6">
            <w:pPr>
              <w:tabs>
                <w:tab w:val="left" w:pos="7290"/>
              </w:tabs>
              <w:rPr>
                <w:rFonts w:ascii="Calibri" w:eastAsia="Calibri" w:hAnsi="Calibri" w:cs="Calibri"/>
                <w:sz w:val="20"/>
                <w:szCs w:val="20"/>
              </w:rPr>
            </w:pPr>
          </w:p>
          <w:p w14:paraId="101D70AE" w14:textId="77777777" w:rsidR="00156590" w:rsidRDefault="00000000">
            <w:pPr>
              <w:tabs>
                <w:tab w:val="left" w:pos="7290"/>
              </w:tabs>
              <w:rPr>
                <w:rFonts w:ascii="Calibri" w:eastAsia="Calibri" w:hAnsi="Calibri" w:cs="Calibri"/>
                <w:sz w:val="20"/>
                <w:szCs w:val="20"/>
              </w:rPr>
            </w:pPr>
            <w:hyperlink r:id="rId20">
              <w:r>
                <w:rPr>
                  <w:rFonts w:ascii="Calibri" w:eastAsia="Calibri" w:hAnsi="Calibri" w:cs="Calibri"/>
                  <w:color w:val="0000FF"/>
                  <w:sz w:val="20"/>
                  <w:szCs w:val="20"/>
                  <w:u w:val="single"/>
                </w:rPr>
                <w:t>https://www.youtube.com/watch?v=T45aF1NLMyM</w:t>
              </w:r>
            </w:hyperlink>
          </w:p>
          <w:p w14:paraId="6D9AE8AE" w14:textId="5D621D3B" w:rsidR="00286613" w:rsidRDefault="00286613">
            <w:pPr>
              <w:tabs>
                <w:tab w:val="left" w:pos="7290"/>
              </w:tabs>
              <w:rPr>
                <w:rFonts w:ascii="Calibri" w:eastAsia="Calibri" w:hAnsi="Calibri" w:cs="Calibri"/>
                <w:sz w:val="20"/>
                <w:szCs w:val="20"/>
              </w:rPr>
            </w:pPr>
          </w:p>
        </w:tc>
      </w:tr>
      <w:tr w:rsidR="002B6FD6" w14:paraId="10A53FB6" w14:textId="77777777">
        <w:tc>
          <w:tcPr>
            <w:tcW w:w="900" w:type="dxa"/>
            <w:tcBorders>
              <w:top w:val="single" w:sz="4" w:space="0" w:color="000000"/>
              <w:left w:val="single" w:sz="4" w:space="0" w:color="000000"/>
              <w:bottom w:val="single" w:sz="4" w:space="0" w:color="000000"/>
              <w:right w:val="single" w:sz="4" w:space="0" w:color="000000"/>
            </w:tcBorders>
          </w:tcPr>
          <w:p w14:paraId="4454595E"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72F544FC"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Miranda v. Arizona (S.CT. 1966)</w:t>
            </w:r>
          </w:p>
          <w:p w14:paraId="46646F95"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75D0BAE2" wp14:editId="639E7360">
                  <wp:extent cx="2804160" cy="2103120"/>
                  <wp:effectExtent l="38100" t="38100" r="38100" b="38100"/>
                  <wp:docPr id="116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61980AC" w14:textId="77777777" w:rsidR="002B6FD6" w:rsidRDefault="00000000">
            <w:pPr>
              <w:widowControl w:val="0"/>
              <w:spacing w:after="200" w:line="276" w:lineRule="auto"/>
              <w:rPr>
                <w:rFonts w:ascii="Calibri" w:eastAsia="Calibri" w:hAnsi="Calibri" w:cs="Calibri"/>
                <w:b/>
              </w:rPr>
            </w:pPr>
            <w:r>
              <w:rPr>
                <w:rFonts w:ascii="Calibri" w:eastAsia="Calibri" w:hAnsi="Calibri" w:cs="Calibri"/>
              </w:rPr>
              <w:t xml:space="preserve">What is Miranda? We’ve all heard of the constitutional right not to incriminate yourself. </w:t>
            </w:r>
          </w:p>
        </w:tc>
        <w:tc>
          <w:tcPr>
            <w:tcW w:w="1890" w:type="dxa"/>
            <w:tcBorders>
              <w:top w:val="single" w:sz="4" w:space="0" w:color="000000"/>
              <w:left w:val="single" w:sz="4" w:space="0" w:color="000000"/>
              <w:bottom w:val="single" w:sz="4" w:space="0" w:color="000000"/>
              <w:right w:val="single" w:sz="4" w:space="0" w:color="000000"/>
            </w:tcBorders>
          </w:tcPr>
          <w:p w14:paraId="6B69FC48"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50BD0CB4" wp14:editId="7F9D45A1">
                  <wp:extent cx="508000" cy="342900"/>
                  <wp:effectExtent l="0" t="0" r="0" b="0"/>
                  <wp:docPr id="116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C004007"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sz w:val="20"/>
                <w:szCs w:val="20"/>
              </w:rPr>
              <w:t>Miranda v. Arizona</w:t>
            </w:r>
          </w:p>
        </w:tc>
      </w:tr>
      <w:tr w:rsidR="002B6FD6" w14:paraId="4599BC99" w14:textId="77777777">
        <w:tc>
          <w:tcPr>
            <w:tcW w:w="900" w:type="dxa"/>
            <w:tcBorders>
              <w:top w:val="single" w:sz="4" w:space="0" w:color="000000"/>
              <w:left w:val="single" w:sz="4" w:space="0" w:color="000000"/>
              <w:bottom w:val="single" w:sz="4" w:space="0" w:color="000000"/>
              <w:right w:val="single" w:sz="4" w:space="0" w:color="000000"/>
            </w:tcBorders>
          </w:tcPr>
          <w:p w14:paraId="2E89E390"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7AEBD8DC"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Miranda v. Arizona (S.CT. 1966)</w:t>
            </w:r>
          </w:p>
          <w:p w14:paraId="44EB700D"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F853570" wp14:editId="445FDE95">
                  <wp:extent cx="2804160" cy="2103120"/>
                  <wp:effectExtent l="38100" t="38100" r="38100" b="38100"/>
                  <wp:docPr id="117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7366D94" w14:textId="77777777" w:rsidR="002B6FD6" w:rsidRDefault="00000000">
            <w:pPr>
              <w:widowControl w:val="0"/>
              <w:numPr>
                <w:ilvl w:val="0"/>
                <w:numId w:val="1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Miranda is a warning read in the event of a custodial interview. </w:t>
            </w:r>
          </w:p>
          <w:p w14:paraId="1E168BDA" w14:textId="77777777" w:rsidR="002B6FD6" w:rsidRDefault="00000000">
            <w:pPr>
              <w:widowControl w:val="0"/>
              <w:numPr>
                <w:ilvl w:val="0"/>
                <w:numId w:val="1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Since a suspect has a 5</w:t>
            </w:r>
            <w:r>
              <w:rPr>
                <w:rFonts w:ascii="Calibri" w:eastAsia="Calibri" w:hAnsi="Calibri" w:cs="Calibri"/>
                <w:color w:val="000000"/>
                <w:vertAlign w:val="superscript"/>
              </w:rPr>
              <w:t>th</w:t>
            </w:r>
            <w:r>
              <w:rPr>
                <w:rFonts w:ascii="Calibri" w:eastAsia="Calibri" w:hAnsi="Calibri" w:cs="Calibri"/>
                <w:color w:val="000000"/>
              </w:rPr>
              <w:t xml:space="preserve"> Amendment right not to incriminate him or herself if they are in a situation where they are in custody and being interrogated, they must be made aware of that right. </w:t>
            </w:r>
          </w:p>
          <w:p w14:paraId="61FFEFCD" w14:textId="77777777" w:rsidR="002B6FD6" w:rsidRDefault="00000000">
            <w:pPr>
              <w:widowControl w:val="0"/>
              <w:numPr>
                <w:ilvl w:val="0"/>
                <w:numId w:val="1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sz w:val="22"/>
                <w:szCs w:val="22"/>
              </w:rPr>
              <w:t>Note that you only need to read someone their Miranda rights if you are asking them questions. If you are building a rapport, you can wait to read the Miranda rights until immediately before you begin the questioning part of the interview.</w:t>
            </w:r>
          </w:p>
          <w:p w14:paraId="329F81DC" w14:textId="77777777" w:rsidR="002B6FD6" w:rsidRDefault="002B6FD6">
            <w:pPr>
              <w:widowControl w:val="0"/>
              <w:pBdr>
                <w:top w:val="nil"/>
                <w:left w:val="nil"/>
                <w:bottom w:val="nil"/>
                <w:right w:val="nil"/>
                <w:between w:val="nil"/>
              </w:pBdr>
              <w:spacing w:after="200" w:line="276" w:lineRule="auto"/>
              <w:ind w:left="720"/>
              <w:rPr>
                <w:rFonts w:ascii="Calibri" w:eastAsia="Calibri" w:hAnsi="Calibri" w:cs="Calibri"/>
                <w:color w:val="000000"/>
              </w:rPr>
            </w:pPr>
          </w:p>
        </w:tc>
        <w:tc>
          <w:tcPr>
            <w:tcW w:w="1890" w:type="dxa"/>
            <w:tcBorders>
              <w:top w:val="single" w:sz="4" w:space="0" w:color="000000"/>
              <w:left w:val="single" w:sz="4" w:space="0" w:color="000000"/>
              <w:bottom w:val="single" w:sz="4" w:space="0" w:color="000000"/>
              <w:right w:val="single" w:sz="4" w:space="0" w:color="000000"/>
            </w:tcBorders>
          </w:tcPr>
          <w:p w14:paraId="2C45AE76"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2CEACC40" wp14:editId="46AA9016">
                  <wp:extent cx="508000" cy="342900"/>
                  <wp:effectExtent l="0" t="0" r="0" b="0"/>
                  <wp:docPr id="1170"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0842C108"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sz w:val="20"/>
                <w:szCs w:val="20"/>
              </w:rPr>
              <w:t>Miranda v. Arizona</w:t>
            </w:r>
          </w:p>
          <w:p w14:paraId="5B1889E3" w14:textId="77777777" w:rsidR="002B6FD6" w:rsidRDefault="002B6FD6">
            <w:pPr>
              <w:tabs>
                <w:tab w:val="left" w:pos="7290"/>
              </w:tabs>
              <w:rPr>
                <w:rFonts w:ascii="Calibri" w:eastAsia="Calibri" w:hAnsi="Calibri" w:cs="Calibri"/>
                <w:b/>
                <w:color w:val="336600"/>
                <w:sz w:val="20"/>
                <w:szCs w:val="20"/>
              </w:rPr>
            </w:pPr>
          </w:p>
          <w:p w14:paraId="49EBFF79" w14:textId="77777777" w:rsidR="00193283" w:rsidRDefault="00193283">
            <w:pPr>
              <w:tabs>
                <w:tab w:val="left" w:pos="7290"/>
              </w:tabs>
              <w:rPr>
                <w:rFonts w:ascii="Calibri" w:eastAsia="Calibri" w:hAnsi="Calibri" w:cs="Calibri"/>
                <w:b/>
                <w:color w:val="336600"/>
                <w:sz w:val="20"/>
                <w:szCs w:val="20"/>
              </w:rPr>
            </w:pPr>
          </w:p>
          <w:p w14:paraId="174DB1FD" w14:textId="77777777" w:rsidR="00193283" w:rsidRDefault="00193283">
            <w:pPr>
              <w:tabs>
                <w:tab w:val="left" w:pos="7290"/>
              </w:tabs>
              <w:rPr>
                <w:rFonts w:ascii="Calibri" w:eastAsia="Calibri" w:hAnsi="Calibri" w:cs="Calibri"/>
                <w:b/>
                <w:color w:val="336600"/>
                <w:sz w:val="20"/>
                <w:szCs w:val="20"/>
              </w:rPr>
            </w:pPr>
          </w:p>
          <w:p w14:paraId="37C71AA3" w14:textId="77777777" w:rsidR="00193283" w:rsidRDefault="00193283">
            <w:pPr>
              <w:tabs>
                <w:tab w:val="left" w:pos="7290"/>
              </w:tabs>
              <w:rPr>
                <w:rFonts w:ascii="Calibri" w:eastAsia="Calibri" w:hAnsi="Calibri" w:cs="Calibri"/>
                <w:b/>
                <w:color w:val="336600"/>
                <w:sz w:val="20"/>
                <w:szCs w:val="20"/>
              </w:rPr>
            </w:pPr>
          </w:p>
          <w:p w14:paraId="2CF17F0E" w14:textId="77777777" w:rsidR="00193283" w:rsidRDefault="00193283">
            <w:pPr>
              <w:tabs>
                <w:tab w:val="left" w:pos="7290"/>
              </w:tabs>
              <w:rPr>
                <w:rFonts w:ascii="Calibri" w:eastAsia="Calibri" w:hAnsi="Calibri" w:cs="Calibri"/>
                <w:b/>
                <w:color w:val="336600"/>
                <w:sz w:val="20"/>
                <w:szCs w:val="20"/>
              </w:rPr>
            </w:pPr>
          </w:p>
          <w:p w14:paraId="7CD2F7CD" w14:textId="77777777" w:rsidR="00193283" w:rsidRDefault="00193283">
            <w:pPr>
              <w:tabs>
                <w:tab w:val="left" w:pos="7290"/>
              </w:tabs>
              <w:rPr>
                <w:rFonts w:ascii="Calibri" w:eastAsia="Calibri" w:hAnsi="Calibri" w:cs="Calibri"/>
                <w:b/>
                <w:color w:val="336600"/>
                <w:sz w:val="20"/>
                <w:szCs w:val="20"/>
              </w:rPr>
            </w:pPr>
          </w:p>
          <w:p w14:paraId="01774FB0" w14:textId="77777777" w:rsidR="00193283" w:rsidRDefault="00193283">
            <w:pPr>
              <w:tabs>
                <w:tab w:val="left" w:pos="7290"/>
              </w:tabs>
              <w:rPr>
                <w:rFonts w:ascii="Calibri" w:eastAsia="Calibri" w:hAnsi="Calibri" w:cs="Calibri"/>
                <w:b/>
                <w:color w:val="336600"/>
                <w:sz w:val="20"/>
                <w:szCs w:val="20"/>
              </w:rPr>
            </w:pPr>
          </w:p>
          <w:p w14:paraId="6F88A00D" w14:textId="77777777" w:rsidR="00193283" w:rsidRDefault="00193283">
            <w:pPr>
              <w:tabs>
                <w:tab w:val="left" w:pos="7290"/>
              </w:tabs>
              <w:rPr>
                <w:rFonts w:ascii="Calibri" w:eastAsia="Calibri" w:hAnsi="Calibri" w:cs="Calibri"/>
                <w:b/>
                <w:color w:val="336600"/>
                <w:sz w:val="20"/>
                <w:szCs w:val="20"/>
              </w:rPr>
            </w:pPr>
          </w:p>
          <w:p w14:paraId="7885591E" w14:textId="77777777" w:rsidR="00193283" w:rsidRDefault="00193283">
            <w:pPr>
              <w:tabs>
                <w:tab w:val="left" w:pos="7290"/>
              </w:tabs>
              <w:rPr>
                <w:rFonts w:ascii="Calibri" w:eastAsia="Calibri" w:hAnsi="Calibri" w:cs="Calibri"/>
                <w:b/>
                <w:color w:val="336600"/>
                <w:sz w:val="20"/>
                <w:szCs w:val="20"/>
              </w:rPr>
            </w:pPr>
          </w:p>
          <w:p w14:paraId="014976D1" w14:textId="77777777" w:rsidR="00193283" w:rsidRDefault="00193283">
            <w:pPr>
              <w:tabs>
                <w:tab w:val="left" w:pos="7290"/>
              </w:tabs>
              <w:rPr>
                <w:rFonts w:ascii="Calibri" w:eastAsia="Calibri" w:hAnsi="Calibri" w:cs="Calibri"/>
                <w:b/>
                <w:color w:val="336600"/>
                <w:sz w:val="20"/>
                <w:szCs w:val="20"/>
              </w:rPr>
            </w:pPr>
          </w:p>
          <w:p w14:paraId="4CF9C8B3" w14:textId="77777777" w:rsidR="00193283" w:rsidRDefault="00193283">
            <w:pPr>
              <w:tabs>
                <w:tab w:val="left" w:pos="7290"/>
              </w:tabs>
              <w:rPr>
                <w:rFonts w:ascii="Calibri" w:eastAsia="Calibri" w:hAnsi="Calibri" w:cs="Calibri"/>
                <w:b/>
                <w:color w:val="336600"/>
                <w:sz w:val="20"/>
                <w:szCs w:val="20"/>
              </w:rPr>
            </w:pPr>
          </w:p>
          <w:p w14:paraId="6FD0F8B1" w14:textId="77777777" w:rsidR="00193283" w:rsidRDefault="00193283">
            <w:pPr>
              <w:tabs>
                <w:tab w:val="left" w:pos="7290"/>
              </w:tabs>
              <w:rPr>
                <w:rFonts w:ascii="Calibri" w:eastAsia="Calibri" w:hAnsi="Calibri" w:cs="Calibri"/>
                <w:b/>
                <w:color w:val="336600"/>
                <w:sz w:val="20"/>
                <w:szCs w:val="20"/>
              </w:rPr>
            </w:pPr>
          </w:p>
          <w:p w14:paraId="70E0C8BA" w14:textId="77777777" w:rsidR="00193283" w:rsidRDefault="00193283">
            <w:pPr>
              <w:tabs>
                <w:tab w:val="left" w:pos="7290"/>
              </w:tabs>
              <w:rPr>
                <w:rFonts w:ascii="Calibri" w:eastAsia="Calibri" w:hAnsi="Calibri" w:cs="Calibri"/>
                <w:b/>
                <w:color w:val="336600"/>
                <w:sz w:val="20"/>
                <w:szCs w:val="20"/>
              </w:rPr>
            </w:pPr>
          </w:p>
          <w:p w14:paraId="55F4EC18" w14:textId="77777777" w:rsidR="00193283" w:rsidRDefault="00193283">
            <w:pPr>
              <w:tabs>
                <w:tab w:val="left" w:pos="7290"/>
              </w:tabs>
              <w:rPr>
                <w:rFonts w:ascii="Calibri" w:eastAsia="Calibri" w:hAnsi="Calibri" w:cs="Calibri"/>
                <w:b/>
                <w:color w:val="336600"/>
                <w:sz w:val="20"/>
                <w:szCs w:val="20"/>
              </w:rPr>
            </w:pPr>
          </w:p>
          <w:p w14:paraId="43EFFCDD" w14:textId="77777777" w:rsidR="00193283" w:rsidRDefault="00193283">
            <w:pPr>
              <w:tabs>
                <w:tab w:val="left" w:pos="7290"/>
              </w:tabs>
              <w:rPr>
                <w:rFonts w:ascii="Calibri" w:eastAsia="Calibri" w:hAnsi="Calibri" w:cs="Calibri"/>
                <w:b/>
                <w:color w:val="336600"/>
                <w:sz w:val="20"/>
                <w:szCs w:val="20"/>
              </w:rPr>
            </w:pPr>
          </w:p>
          <w:p w14:paraId="5613510A" w14:textId="77777777" w:rsidR="00193283" w:rsidRDefault="00193283">
            <w:pPr>
              <w:tabs>
                <w:tab w:val="left" w:pos="7290"/>
              </w:tabs>
              <w:rPr>
                <w:rFonts w:ascii="Calibri" w:eastAsia="Calibri" w:hAnsi="Calibri" w:cs="Calibri"/>
                <w:b/>
                <w:color w:val="336600"/>
                <w:sz w:val="20"/>
                <w:szCs w:val="20"/>
              </w:rPr>
            </w:pPr>
          </w:p>
          <w:p w14:paraId="563570A1" w14:textId="77777777" w:rsidR="00193283" w:rsidRDefault="00193283">
            <w:pPr>
              <w:tabs>
                <w:tab w:val="left" w:pos="7290"/>
              </w:tabs>
              <w:rPr>
                <w:rFonts w:ascii="Calibri" w:eastAsia="Calibri" w:hAnsi="Calibri" w:cs="Calibri"/>
                <w:b/>
                <w:color w:val="336600"/>
                <w:sz w:val="20"/>
                <w:szCs w:val="20"/>
              </w:rPr>
            </w:pPr>
          </w:p>
          <w:p w14:paraId="2ADE4C72" w14:textId="77777777" w:rsidR="00193283" w:rsidRDefault="00193283">
            <w:pPr>
              <w:tabs>
                <w:tab w:val="left" w:pos="7290"/>
              </w:tabs>
              <w:rPr>
                <w:rFonts w:ascii="Calibri" w:eastAsia="Calibri" w:hAnsi="Calibri" w:cs="Calibri"/>
                <w:b/>
                <w:color w:val="336600"/>
                <w:sz w:val="20"/>
                <w:szCs w:val="20"/>
              </w:rPr>
            </w:pPr>
          </w:p>
          <w:p w14:paraId="5CF43DE0" w14:textId="77777777" w:rsidR="00193283" w:rsidRDefault="00193283">
            <w:pPr>
              <w:tabs>
                <w:tab w:val="left" w:pos="7290"/>
              </w:tabs>
              <w:rPr>
                <w:rFonts w:ascii="Calibri" w:eastAsia="Calibri" w:hAnsi="Calibri" w:cs="Calibri"/>
                <w:b/>
                <w:color w:val="336600"/>
                <w:sz w:val="20"/>
                <w:szCs w:val="20"/>
              </w:rPr>
            </w:pPr>
          </w:p>
          <w:p w14:paraId="319D7141" w14:textId="77777777" w:rsidR="00193283" w:rsidRDefault="00193283">
            <w:pPr>
              <w:tabs>
                <w:tab w:val="left" w:pos="7290"/>
              </w:tabs>
              <w:rPr>
                <w:rFonts w:ascii="Calibri" w:eastAsia="Calibri" w:hAnsi="Calibri" w:cs="Calibri"/>
                <w:b/>
                <w:color w:val="336600"/>
                <w:sz w:val="20"/>
                <w:szCs w:val="20"/>
              </w:rPr>
            </w:pPr>
          </w:p>
          <w:p w14:paraId="49696E9C" w14:textId="77777777" w:rsidR="00193283" w:rsidRDefault="00193283">
            <w:pPr>
              <w:tabs>
                <w:tab w:val="left" w:pos="7290"/>
              </w:tabs>
              <w:rPr>
                <w:rFonts w:ascii="Calibri" w:eastAsia="Calibri" w:hAnsi="Calibri" w:cs="Calibri"/>
                <w:b/>
                <w:color w:val="336600"/>
                <w:sz w:val="20"/>
                <w:szCs w:val="20"/>
              </w:rPr>
            </w:pPr>
          </w:p>
          <w:p w14:paraId="651F22AC" w14:textId="77777777" w:rsidR="00193283" w:rsidRDefault="00193283">
            <w:pPr>
              <w:tabs>
                <w:tab w:val="left" w:pos="7290"/>
              </w:tabs>
              <w:rPr>
                <w:rFonts w:ascii="Calibri" w:eastAsia="Calibri" w:hAnsi="Calibri" w:cs="Calibri"/>
                <w:b/>
                <w:color w:val="336600"/>
                <w:sz w:val="20"/>
                <w:szCs w:val="20"/>
              </w:rPr>
            </w:pPr>
          </w:p>
          <w:p w14:paraId="74C6044D" w14:textId="77777777" w:rsidR="00193283" w:rsidRDefault="00193283">
            <w:pPr>
              <w:tabs>
                <w:tab w:val="left" w:pos="7290"/>
              </w:tabs>
              <w:rPr>
                <w:rFonts w:ascii="Calibri" w:eastAsia="Calibri" w:hAnsi="Calibri" w:cs="Calibri"/>
                <w:b/>
                <w:color w:val="336600"/>
                <w:sz w:val="20"/>
                <w:szCs w:val="20"/>
              </w:rPr>
            </w:pPr>
          </w:p>
          <w:p w14:paraId="747C4F5E" w14:textId="77777777" w:rsidR="00193283" w:rsidRDefault="00193283">
            <w:pPr>
              <w:tabs>
                <w:tab w:val="left" w:pos="7290"/>
              </w:tabs>
              <w:rPr>
                <w:rFonts w:ascii="Calibri" w:eastAsia="Calibri" w:hAnsi="Calibri" w:cs="Calibri"/>
                <w:b/>
                <w:color w:val="336600"/>
                <w:sz w:val="20"/>
                <w:szCs w:val="20"/>
              </w:rPr>
            </w:pPr>
          </w:p>
          <w:p w14:paraId="23C0EEDC" w14:textId="77777777" w:rsidR="00193283" w:rsidRDefault="00193283">
            <w:pPr>
              <w:tabs>
                <w:tab w:val="left" w:pos="7290"/>
              </w:tabs>
              <w:rPr>
                <w:rFonts w:ascii="Calibri" w:eastAsia="Calibri" w:hAnsi="Calibri" w:cs="Calibri"/>
                <w:b/>
                <w:color w:val="336600"/>
                <w:sz w:val="20"/>
                <w:szCs w:val="20"/>
              </w:rPr>
            </w:pPr>
          </w:p>
          <w:p w14:paraId="5BB27943" w14:textId="77777777" w:rsidR="00193283" w:rsidRDefault="00193283">
            <w:pPr>
              <w:tabs>
                <w:tab w:val="left" w:pos="7290"/>
              </w:tabs>
              <w:rPr>
                <w:rFonts w:ascii="Calibri" w:eastAsia="Calibri" w:hAnsi="Calibri" w:cs="Calibri"/>
                <w:b/>
                <w:color w:val="336600"/>
                <w:sz w:val="20"/>
                <w:szCs w:val="20"/>
              </w:rPr>
            </w:pPr>
          </w:p>
          <w:p w14:paraId="624AE487" w14:textId="77777777" w:rsidR="00193283" w:rsidRDefault="00193283">
            <w:pPr>
              <w:tabs>
                <w:tab w:val="left" w:pos="7290"/>
              </w:tabs>
              <w:rPr>
                <w:rFonts w:ascii="Calibri" w:eastAsia="Calibri" w:hAnsi="Calibri" w:cs="Calibri"/>
                <w:b/>
                <w:color w:val="336600"/>
                <w:sz w:val="20"/>
                <w:szCs w:val="20"/>
              </w:rPr>
            </w:pPr>
          </w:p>
          <w:p w14:paraId="73FE043E" w14:textId="77777777" w:rsidR="00193283" w:rsidRDefault="00193283">
            <w:pPr>
              <w:tabs>
                <w:tab w:val="left" w:pos="7290"/>
              </w:tabs>
              <w:rPr>
                <w:rFonts w:ascii="Calibri" w:eastAsia="Calibri" w:hAnsi="Calibri" w:cs="Calibri"/>
                <w:b/>
                <w:color w:val="336600"/>
                <w:sz w:val="20"/>
                <w:szCs w:val="20"/>
              </w:rPr>
            </w:pPr>
          </w:p>
          <w:p w14:paraId="03F4136C" w14:textId="77777777" w:rsidR="00193283" w:rsidRDefault="00193283">
            <w:pPr>
              <w:tabs>
                <w:tab w:val="left" w:pos="7290"/>
              </w:tabs>
              <w:rPr>
                <w:rFonts w:ascii="Calibri" w:eastAsia="Calibri" w:hAnsi="Calibri" w:cs="Calibri"/>
                <w:b/>
                <w:color w:val="336600"/>
                <w:sz w:val="20"/>
                <w:szCs w:val="20"/>
              </w:rPr>
            </w:pPr>
          </w:p>
        </w:tc>
      </w:tr>
      <w:tr w:rsidR="002B6FD6" w14:paraId="73576B8C" w14:textId="77777777">
        <w:tc>
          <w:tcPr>
            <w:tcW w:w="900" w:type="dxa"/>
            <w:tcBorders>
              <w:top w:val="single" w:sz="4" w:space="0" w:color="000000"/>
              <w:left w:val="single" w:sz="4" w:space="0" w:color="000000"/>
              <w:bottom w:val="single" w:sz="4" w:space="0" w:color="000000"/>
              <w:right w:val="single" w:sz="4" w:space="0" w:color="000000"/>
            </w:tcBorders>
          </w:tcPr>
          <w:p w14:paraId="35E5136C"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3026E7E8"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Berghuis v. Thompkins (S. CT. 2010)</w:t>
            </w:r>
          </w:p>
          <w:p w14:paraId="5F9B88AB"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86677DB" wp14:editId="2E10DA8F">
                  <wp:extent cx="2804160" cy="2103120"/>
                  <wp:effectExtent l="38100" t="38100" r="38100" b="38100"/>
                  <wp:docPr id="117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CD6FCB5"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How does a suspect demonstrate his or her desire to remain silent? </w:t>
            </w:r>
          </w:p>
          <w:p w14:paraId="0EA99DDF" w14:textId="77777777" w:rsidR="002B6FD6" w:rsidRDefault="00000000">
            <w:pPr>
              <w:widowControl w:val="0"/>
              <w:numPr>
                <w:ilvl w:val="0"/>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They </w:t>
            </w:r>
            <w:proofErr w:type="gramStart"/>
            <w:r>
              <w:rPr>
                <w:rFonts w:ascii="Calibri" w:eastAsia="Calibri" w:hAnsi="Calibri" w:cs="Calibri"/>
                <w:color w:val="000000"/>
              </w:rPr>
              <w:t>actually need</w:t>
            </w:r>
            <w:proofErr w:type="gramEnd"/>
            <w:r>
              <w:rPr>
                <w:rFonts w:ascii="Calibri" w:eastAsia="Calibri" w:hAnsi="Calibri" w:cs="Calibri"/>
                <w:color w:val="000000"/>
              </w:rPr>
              <w:t xml:space="preserve"> to state their desire to remain silent. Just being silent does not invoke that right. </w:t>
            </w:r>
          </w:p>
          <w:p w14:paraId="1C1A4011" w14:textId="77777777" w:rsidR="002B6FD6" w:rsidRDefault="00000000">
            <w:pPr>
              <w:widowControl w:val="0"/>
              <w:numPr>
                <w:ilvl w:val="0"/>
                <w:numId w:val="1"/>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In this case, the suspect’s answer of “yes” was used to convict him and the guilty finding was upheld. </w:t>
            </w:r>
          </w:p>
        </w:tc>
        <w:tc>
          <w:tcPr>
            <w:tcW w:w="1890" w:type="dxa"/>
            <w:tcBorders>
              <w:top w:val="single" w:sz="4" w:space="0" w:color="000000"/>
              <w:left w:val="single" w:sz="4" w:space="0" w:color="000000"/>
              <w:bottom w:val="single" w:sz="4" w:space="0" w:color="000000"/>
              <w:right w:val="single" w:sz="4" w:space="0" w:color="000000"/>
            </w:tcBorders>
          </w:tcPr>
          <w:p w14:paraId="36188DAA"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579D7D29" wp14:editId="4FD7663C">
                  <wp:extent cx="508000" cy="342900"/>
                  <wp:effectExtent l="0" t="0" r="0" b="0"/>
                  <wp:docPr id="1173"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6FF8327"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sz w:val="20"/>
                <w:szCs w:val="20"/>
              </w:rPr>
              <w:t>Berghuis v. Thompkins</w:t>
            </w:r>
          </w:p>
        </w:tc>
      </w:tr>
      <w:tr w:rsidR="002B6FD6" w14:paraId="69ED5A30" w14:textId="77777777">
        <w:tc>
          <w:tcPr>
            <w:tcW w:w="900" w:type="dxa"/>
            <w:tcBorders>
              <w:top w:val="single" w:sz="4" w:space="0" w:color="000000"/>
              <w:left w:val="single" w:sz="4" w:space="0" w:color="000000"/>
              <w:bottom w:val="single" w:sz="4" w:space="0" w:color="000000"/>
              <w:right w:val="single" w:sz="4" w:space="0" w:color="000000"/>
            </w:tcBorders>
          </w:tcPr>
          <w:p w14:paraId="7BC5C7C7" w14:textId="77777777" w:rsidR="002B6FD6" w:rsidRDefault="00000000">
            <w:pPr>
              <w:tabs>
                <w:tab w:val="left" w:pos="7290"/>
              </w:tabs>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6D8E091D"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Miranda v. Arizona (S.CT. 1966)</w:t>
            </w:r>
          </w:p>
          <w:p w14:paraId="7D00860F" w14:textId="77777777" w:rsidR="002B6FD6" w:rsidRDefault="002B6FD6">
            <w:pPr>
              <w:widowControl w:val="0"/>
              <w:spacing w:after="200" w:line="276" w:lineRule="auto"/>
              <w:rPr>
                <w:rFonts w:ascii="Calibri" w:eastAsia="Calibri" w:hAnsi="Calibri" w:cs="Calibri"/>
              </w:rPr>
            </w:pPr>
          </w:p>
          <w:p w14:paraId="1823D647"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If a suspect wishes to waive his or her rights, give them their rights in </w:t>
            </w:r>
            <w:r>
              <w:rPr>
                <w:rFonts w:ascii="Calibri" w:eastAsia="Calibri" w:hAnsi="Calibri" w:cs="Calibri"/>
              </w:rPr>
              <w:t xml:space="preserve">writing and have them sign that piece of paper. </w:t>
            </w:r>
            <w:proofErr w:type="gramStart"/>
            <w:r>
              <w:rPr>
                <w:rFonts w:ascii="Calibri" w:eastAsia="Calibri" w:hAnsi="Calibri" w:cs="Calibri"/>
              </w:rPr>
              <w:t>Best</w:t>
            </w:r>
            <w:proofErr w:type="gramEnd"/>
            <w:r>
              <w:rPr>
                <w:rFonts w:ascii="Calibri" w:eastAsia="Calibri" w:hAnsi="Calibri" w:cs="Calibri"/>
              </w:rPr>
              <w:t xml:space="preserve"> practice is to </w:t>
            </w:r>
            <w:proofErr w:type="gramStart"/>
            <w:r>
              <w:rPr>
                <w:rFonts w:ascii="Calibri" w:eastAsia="Calibri" w:hAnsi="Calibri" w:cs="Calibri"/>
              </w:rPr>
              <w:t>actually record</w:t>
            </w:r>
            <w:proofErr w:type="gramEnd"/>
            <w:r>
              <w:rPr>
                <w:rFonts w:ascii="Calibri" w:eastAsia="Calibri" w:hAnsi="Calibri" w:cs="Calibri"/>
              </w:rPr>
              <w:t xml:space="preserve"> the warning. This record will help you avoid claims of confusion </w:t>
            </w:r>
            <w:proofErr w:type="gramStart"/>
            <w:r>
              <w:rPr>
                <w:rFonts w:ascii="Calibri" w:eastAsia="Calibri" w:hAnsi="Calibri" w:cs="Calibri"/>
              </w:rPr>
              <w:t>later on</w:t>
            </w:r>
            <w:proofErr w:type="gramEnd"/>
            <w:r>
              <w:rPr>
                <w:rFonts w:ascii="Calibri" w:eastAsia="Calibri" w:hAnsi="Calibri" w:cs="Calibri"/>
              </w:rPr>
              <w:t>.</w:t>
            </w:r>
            <w:r>
              <w:rPr>
                <w:noProof/>
              </w:rPr>
              <w:drawing>
                <wp:anchor distT="0" distB="0" distL="114300" distR="114300" simplePos="0" relativeHeight="251658240" behindDoc="0" locked="0" layoutInCell="1" hidden="0" allowOverlap="1" wp14:anchorId="1579EB8F" wp14:editId="014E85AD">
                  <wp:simplePos x="0" y="0"/>
                  <wp:positionH relativeFrom="column">
                    <wp:posOffset>641985</wp:posOffset>
                  </wp:positionH>
                  <wp:positionV relativeFrom="paragraph">
                    <wp:posOffset>0</wp:posOffset>
                  </wp:positionV>
                  <wp:extent cx="2804160" cy="2103120"/>
                  <wp:effectExtent l="38100" t="38100" r="38100" b="38100"/>
                  <wp:wrapTopAndBottom distT="0" distB="0"/>
                  <wp:docPr id="10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804160" cy="2103120"/>
                          </a:xfrm>
                          <a:prstGeom prst="rect">
                            <a:avLst/>
                          </a:prstGeom>
                          <a:ln w="38100">
                            <a:solidFill>
                              <a:srgbClr val="000000"/>
                            </a:solidFill>
                            <a:prstDash val="solid"/>
                          </a:ln>
                        </pic:spPr>
                      </pic:pic>
                    </a:graphicData>
                  </a:graphic>
                </wp:anchor>
              </w:drawing>
            </w:r>
          </w:p>
        </w:tc>
        <w:tc>
          <w:tcPr>
            <w:tcW w:w="1890" w:type="dxa"/>
            <w:tcBorders>
              <w:top w:val="single" w:sz="4" w:space="0" w:color="000000"/>
              <w:left w:val="single" w:sz="4" w:space="0" w:color="000000"/>
              <w:bottom w:val="single" w:sz="4" w:space="0" w:color="000000"/>
              <w:right w:val="single" w:sz="4" w:space="0" w:color="000000"/>
            </w:tcBorders>
          </w:tcPr>
          <w:p w14:paraId="31E019C4"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3C6ADE38" wp14:editId="6ADBCFCD">
                  <wp:extent cx="508000" cy="342900"/>
                  <wp:effectExtent l="0" t="0" r="0" b="0"/>
                  <wp:docPr id="117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7D4941FA"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sz w:val="20"/>
                <w:szCs w:val="20"/>
              </w:rPr>
              <w:t>Miranda v. Arizona</w:t>
            </w:r>
          </w:p>
          <w:p w14:paraId="7E75027C" w14:textId="77777777" w:rsidR="002B6FD6" w:rsidRDefault="002B6FD6">
            <w:pPr>
              <w:tabs>
                <w:tab w:val="left" w:pos="7290"/>
              </w:tabs>
              <w:rPr>
                <w:rFonts w:ascii="Calibri" w:eastAsia="Calibri" w:hAnsi="Calibri" w:cs="Calibri"/>
                <w:b/>
                <w:color w:val="336600"/>
                <w:sz w:val="20"/>
                <w:szCs w:val="20"/>
              </w:rPr>
            </w:pPr>
          </w:p>
        </w:tc>
      </w:tr>
      <w:tr w:rsidR="002B6FD6" w14:paraId="21D21E86" w14:textId="77777777">
        <w:tc>
          <w:tcPr>
            <w:tcW w:w="900" w:type="dxa"/>
            <w:tcBorders>
              <w:top w:val="single" w:sz="4" w:space="0" w:color="000000"/>
              <w:left w:val="single" w:sz="4" w:space="0" w:color="000000"/>
              <w:bottom w:val="single" w:sz="4" w:space="0" w:color="000000"/>
              <w:right w:val="single" w:sz="4" w:space="0" w:color="000000"/>
            </w:tcBorders>
          </w:tcPr>
          <w:p w14:paraId="51A9C91D"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79954A07"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Miranda</w:t>
            </w:r>
          </w:p>
          <w:p w14:paraId="6F45EF58" w14:textId="77777777" w:rsidR="002B6FD6" w:rsidRDefault="002B6FD6">
            <w:pPr>
              <w:widowControl w:val="0"/>
              <w:pBdr>
                <w:top w:val="nil"/>
                <w:left w:val="nil"/>
                <w:bottom w:val="nil"/>
                <w:right w:val="nil"/>
                <w:between w:val="nil"/>
              </w:pBdr>
              <w:spacing w:line="276" w:lineRule="auto"/>
              <w:jc w:val="center"/>
              <w:rPr>
                <w:rFonts w:ascii="Calibri" w:eastAsia="Calibri" w:hAnsi="Calibri" w:cs="Calibri"/>
                <w:b/>
                <w:color w:val="000000"/>
              </w:rPr>
            </w:pPr>
          </w:p>
          <w:p w14:paraId="68FBE619"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22B732E9" w14:textId="77777777" w:rsidR="002B6FD6" w:rsidRDefault="00000000">
            <w:pPr>
              <w:widowControl w:val="0"/>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Are prisoners in custody? </w:t>
            </w:r>
            <w:r>
              <w:rPr>
                <w:noProof/>
              </w:rPr>
              <w:drawing>
                <wp:anchor distT="0" distB="0" distL="114300" distR="114300" simplePos="0" relativeHeight="251659264" behindDoc="0" locked="0" layoutInCell="1" hidden="0" allowOverlap="1" wp14:anchorId="0DBFDF64" wp14:editId="14E9B2CF">
                  <wp:simplePos x="0" y="0"/>
                  <wp:positionH relativeFrom="column">
                    <wp:posOffset>649605</wp:posOffset>
                  </wp:positionH>
                  <wp:positionV relativeFrom="paragraph">
                    <wp:posOffset>0</wp:posOffset>
                  </wp:positionV>
                  <wp:extent cx="2804160" cy="2103120"/>
                  <wp:effectExtent l="38100" t="38100" r="38100" b="38100"/>
                  <wp:wrapSquare wrapText="bothSides" distT="0" distB="0" distL="114300" distR="114300"/>
                  <wp:docPr id="115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5"/>
                          <a:srcRect/>
                          <a:stretch>
                            <a:fillRect/>
                          </a:stretch>
                        </pic:blipFill>
                        <pic:spPr>
                          <a:xfrm>
                            <a:off x="0" y="0"/>
                            <a:ext cx="2804160" cy="2103120"/>
                          </a:xfrm>
                          <a:prstGeom prst="rect">
                            <a:avLst/>
                          </a:prstGeom>
                          <a:ln w="38100">
                            <a:solidFill>
                              <a:srgbClr val="000000"/>
                            </a:solidFill>
                            <a:prstDash val="solid"/>
                          </a:ln>
                        </pic:spPr>
                      </pic:pic>
                    </a:graphicData>
                  </a:graphic>
                </wp:anchor>
              </w:drawing>
            </w:r>
          </w:p>
          <w:p w14:paraId="6928E8B6" w14:textId="77777777" w:rsidR="002B6FD6" w:rsidRDefault="00000000">
            <w:pPr>
              <w:widowControl w:val="0"/>
              <w:numPr>
                <w:ilvl w:val="0"/>
                <w:numId w:val="2"/>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If someone is in prison, do you need to give them the Miranda warning? </w:t>
            </w:r>
            <w:r>
              <w:rPr>
                <w:rFonts w:ascii="Calibri" w:eastAsia="Calibri" w:hAnsi="Calibri" w:cs="Calibri"/>
                <w:b/>
                <w:i/>
                <w:color w:val="000000"/>
              </w:rPr>
              <w:t>Yes.</w:t>
            </w:r>
          </w:p>
        </w:tc>
        <w:tc>
          <w:tcPr>
            <w:tcW w:w="1890" w:type="dxa"/>
            <w:tcBorders>
              <w:top w:val="single" w:sz="4" w:space="0" w:color="000000"/>
              <w:left w:val="single" w:sz="4" w:space="0" w:color="000000"/>
              <w:bottom w:val="single" w:sz="4" w:space="0" w:color="000000"/>
              <w:right w:val="single" w:sz="4" w:space="0" w:color="000000"/>
            </w:tcBorders>
          </w:tcPr>
          <w:p w14:paraId="617486AD"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647D5A82" wp14:editId="3806069E">
                  <wp:extent cx="508000" cy="342900"/>
                  <wp:effectExtent l="0" t="0" r="0" b="0"/>
                  <wp:docPr id="1175"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E5F7EA7"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Miranda</w:t>
            </w:r>
          </w:p>
          <w:p w14:paraId="408AA469"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4464F53C" w14:textId="77777777">
        <w:tc>
          <w:tcPr>
            <w:tcW w:w="900" w:type="dxa"/>
            <w:tcBorders>
              <w:top w:val="single" w:sz="4" w:space="0" w:color="000000"/>
              <w:left w:val="single" w:sz="4" w:space="0" w:color="000000"/>
              <w:bottom w:val="single" w:sz="4" w:space="0" w:color="000000"/>
              <w:right w:val="single" w:sz="4" w:space="0" w:color="000000"/>
            </w:tcBorders>
          </w:tcPr>
          <w:p w14:paraId="14E9AE02"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63C54676"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Howes v. Fields (S. CT. 2012)</w:t>
            </w:r>
          </w:p>
          <w:p w14:paraId="222CFE80" w14:textId="77777777" w:rsidR="002B6FD6" w:rsidRDefault="002B6FD6">
            <w:pPr>
              <w:widowControl w:val="0"/>
              <w:pBdr>
                <w:top w:val="nil"/>
                <w:left w:val="nil"/>
                <w:bottom w:val="nil"/>
                <w:right w:val="nil"/>
                <w:between w:val="nil"/>
              </w:pBdr>
              <w:spacing w:line="276" w:lineRule="auto"/>
              <w:ind w:left="360"/>
              <w:rPr>
                <w:rFonts w:ascii="Calibri" w:eastAsia="Calibri" w:hAnsi="Calibri" w:cs="Calibri"/>
                <w:color w:val="000000"/>
              </w:rPr>
            </w:pPr>
          </w:p>
          <w:p w14:paraId="73214022" w14:textId="77777777" w:rsidR="002B6FD6" w:rsidRDefault="00000000">
            <w:pPr>
              <w:widowControl w:val="0"/>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This is a Supreme Court case in which it was determined that people already in custody are unlikely to be coerced by their longing for release.</w:t>
            </w:r>
            <w:r>
              <w:rPr>
                <w:noProof/>
              </w:rPr>
              <w:drawing>
                <wp:anchor distT="0" distB="0" distL="114300" distR="114300" simplePos="0" relativeHeight="251660288" behindDoc="0" locked="0" layoutInCell="1" hidden="0" allowOverlap="1" wp14:anchorId="5A38A99F" wp14:editId="4AD02AE1">
                  <wp:simplePos x="0" y="0"/>
                  <wp:positionH relativeFrom="column">
                    <wp:posOffset>638175</wp:posOffset>
                  </wp:positionH>
                  <wp:positionV relativeFrom="paragraph">
                    <wp:posOffset>0</wp:posOffset>
                  </wp:positionV>
                  <wp:extent cx="2804160" cy="2103120"/>
                  <wp:effectExtent l="38100" t="38100" r="38100" b="38100"/>
                  <wp:wrapSquare wrapText="bothSides" distT="0" distB="0" distL="114300" distR="114300"/>
                  <wp:docPr id="10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2804160" cy="2103120"/>
                          </a:xfrm>
                          <a:prstGeom prst="rect">
                            <a:avLst/>
                          </a:prstGeom>
                          <a:ln w="38100">
                            <a:solidFill>
                              <a:srgbClr val="000000"/>
                            </a:solidFill>
                            <a:prstDash val="solid"/>
                          </a:ln>
                        </pic:spPr>
                      </pic:pic>
                    </a:graphicData>
                  </a:graphic>
                </wp:anchor>
              </w:drawing>
            </w:r>
          </w:p>
          <w:p w14:paraId="5DA644FF" w14:textId="77777777" w:rsidR="002B6FD6" w:rsidRDefault="00000000">
            <w:pPr>
              <w:widowControl w:val="0"/>
              <w:numPr>
                <w:ilvl w:val="0"/>
                <w:numId w:val="4"/>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However, the length of time of the interview, the tone of the questioning, and the timing may impact this. </w:t>
            </w:r>
          </w:p>
        </w:tc>
        <w:tc>
          <w:tcPr>
            <w:tcW w:w="1890" w:type="dxa"/>
            <w:tcBorders>
              <w:top w:val="single" w:sz="4" w:space="0" w:color="000000"/>
              <w:left w:val="single" w:sz="4" w:space="0" w:color="000000"/>
              <w:bottom w:val="single" w:sz="4" w:space="0" w:color="000000"/>
              <w:right w:val="single" w:sz="4" w:space="0" w:color="000000"/>
            </w:tcBorders>
          </w:tcPr>
          <w:p w14:paraId="4EB1D329"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2F09C5B8" wp14:editId="24F2DE5D">
                  <wp:extent cx="508000" cy="342900"/>
                  <wp:effectExtent l="0" t="0" r="0" b="0"/>
                  <wp:docPr id="117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16FEB4A6"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Howes v. Fields</w:t>
            </w:r>
          </w:p>
        </w:tc>
      </w:tr>
      <w:tr w:rsidR="002B6FD6" w14:paraId="4205A953" w14:textId="77777777">
        <w:trPr>
          <w:trHeight w:val="3860"/>
        </w:trPr>
        <w:tc>
          <w:tcPr>
            <w:tcW w:w="900" w:type="dxa"/>
            <w:tcBorders>
              <w:top w:val="single" w:sz="4" w:space="0" w:color="000000"/>
              <w:left w:val="single" w:sz="4" w:space="0" w:color="000000"/>
              <w:bottom w:val="single" w:sz="4" w:space="0" w:color="000000"/>
              <w:right w:val="single" w:sz="4" w:space="0" w:color="000000"/>
            </w:tcBorders>
          </w:tcPr>
          <w:p w14:paraId="7020C9B9"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34E7B0A0"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Miranda</w:t>
            </w:r>
          </w:p>
          <w:p w14:paraId="376FABB0"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4496A4F" wp14:editId="5F8007FA">
                  <wp:extent cx="2804160" cy="2103120"/>
                  <wp:effectExtent l="38100" t="38100" r="38100" b="38100"/>
                  <wp:docPr id="117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1890" w:type="dxa"/>
            <w:tcBorders>
              <w:top w:val="single" w:sz="4" w:space="0" w:color="000000"/>
              <w:left w:val="single" w:sz="4" w:space="0" w:color="000000"/>
              <w:bottom w:val="single" w:sz="4" w:space="0" w:color="000000"/>
              <w:right w:val="single" w:sz="4" w:space="0" w:color="000000"/>
            </w:tcBorders>
          </w:tcPr>
          <w:p w14:paraId="521A564E"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4DBEF343" wp14:editId="31872B54">
                  <wp:extent cx="508000" cy="342900"/>
                  <wp:effectExtent l="0" t="0" r="0" b="0"/>
                  <wp:docPr id="1151"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76DC03B"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Miranda</w:t>
            </w:r>
          </w:p>
          <w:p w14:paraId="287485BB" w14:textId="77777777" w:rsidR="002B6FD6" w:rsidRDefault="002B6FD6">
            <w:pPr>
              <w:tabs>
                <w:tab w:val="left" w:pos="420"/>
                <w:tab w:val="center" w:pos="1062"/>
                <w:tab w:val="left" w:pos="7290"/>
              </w:tabs>
              <w:rPr>
                <w:rFonts w:ascii="Calibri" w:eastAsia="Calibri" w:hAnsi="Calibri" w:cs="Calibri"/>
                <w:b/>
                <w:color w:val="336600"/>
                <w:sz w:val="20"/>
                <w:szCs w:val="20"/>
              </w:rPr>
            </w:pPr>
          </w:p>
          <w:p w14:paraId="193B18CC" w14:textId="77777777" w:rsidR="002B6FD6" w:rsidRDefault="002B6FD6">
            <w:pPr>
              <w:tabs>
                <w:tab w:val="left" w:pos="420"/>
                <w:tab w:val="center" w:pos="1062"/>
                <w:tab w:val="left" w:pos="7290"/>
              </w:tabs>
              <w:rPr>
                <w:rFonts w:ascii="Calibri" w:eastAsia="Calibri" w:hAnsi="Calibri" w:cs="Calibri"/>
                <w:b/>
                <w:color w:val="336600"/>
                <w:sz w:val="20"/>
                <w:szCs w:val="20"/>
              </w:rPr>
            </w:pPr>
          </w:p>
          <w:p w14:paraId="0B3316FD"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color w:val="FF0000"/>
                <w:sz w:val="20"/>
                <w:szCs w:val="20"/>
              </w:rPr>
              <w:t xml:space="preserve">Insert agency requirements regarding the use of the Miranda warning. Must it always be used? Best practice is to always use Miranda.  </w:t>
            </w:r>
          </w:p>
        </w:tc>
      </w:tr>
      <w:tr w:rsidR="002B6FD6" w14:paraId="0DB29CCD" w14:textId="77777777">
        <w:trPr>
          <w:trHeight w:val="3860"/>
        </w:trPr>
        <w:tc>
          <w:tcPr>
            <w:tcW w:w="900" w:type="dxa"/>
            <w:tcBorders>
              <w:top w:val="single" w:sz="4" w:space="0" w:color="000000"/>
              <w:left w:val="single" w:sz="4" w:space="0" w:color="000000"/>
              <w:bottom w:val="single" w:sz="4" w:space="0" w:color="000000"/>
              <w:right w:val="single" w:sz="4" w:space="0" w:color="000000"/>
            </w:tcBorders>
          </w:tcPr>
          <w:p w14:paraId="6E3D9E94"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4CF99444"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 xml:space="preserve">Garrity v. New Jersey </w:t>
            </w:r>
            <w:r>
              <w:rPr>
                <w:rFonts w:ascii="Calibri" w:eastAsia="Calibri" w:hAnsi="Calibri" w:cs="Calibri"/>
                <w:b/>
                <w:color w:val="000000"/>
              </w:rPr>
              <w:br/>
              <w:t>(S. CT. 1967)</w:t>
            </w:r>
          </w:p>
          <w:p w14:paraId="1DB9E253"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29961520" wp14:editId="7DB53DC5">
                  <wp:extent cx="2804160" cy="2103120"/>
                  <wp:effectExtent l="38100" t="38100" r="38100" b="38100"/>
                  <wp:docPr id="115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F2C5A06" w14:textId="77777777" w:rsidR="002B6FD6" w:rsidRDefault="002B6FD6">
            <w:pPr>
              <w:widowControl w:val="0"/>
              <w:pBdr>
                <w:top w:val="nil"/>
                <w:left w:val="nil"/>
                <w:bottom w:val="nil"/>
                <w:right w:val="nil"/>
                <w:between w:val="nil"/>
              </w:pBdr>
              <w:spacing w:after="200" w:line="276" w:lineRule="auto"/>
              <w:rPr>
                <w:rFonts w:ascii="Calibri" w:eastAsia="Calibri" w:hAnsi="Calibri" w:cs="Calibri"/>
                <w:color w:val="000000"/>
              </w:rPr>
            </w:pPr>
          </w:p>
          <w:p w14:paraId="63868A25"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What is Garrity? </w:t>
            </w:r>
          </w:p>
          <w:p w14:paraId="264EED25" w14:textId="77777777" w:rsidR="00597CC3" w:rsidRDefault="00000000">
            <w:pPr>
              <w:widowControl w:val="0"/>
              <w:spacing w:after="200" w:line="276" w:lineRule="auto"/>
              <w:rPr>
                <w:rFonts w:ascii="Calibri" w:eastAsia="Calibri" w:hAnsi="Calibri" w:cs="Calibri"/>
              </w:rPr>
            </w:pPr>
            <w:r>
              <w:rPr>
                <w:rFonts w:ascii="Calibri" w:eastAsia="Calibri" w:hAnsi="Calibri" w:cs="Calibri"/>
              </w:rPr>
              <w:t xml:space="preserve">If an agency’s policy requires employees to </w:t>
            </w:r>
            <w:r>
              <w:rPr>
                <w:rFonts w:ascii="Calibri" w:eastAsia="Calibri" w:hAnsi="Calibri" w:cs="Calibri"/>
              </w:rPr>
              <w:t>cooperate with investigations and tell the truth under threat of termination, investigators need to warn them of that fact and emphasize that any statements made will not be used against them in a criminal proceeding.</w:t>
            </w:r>
          </w:p>
          <w:p w14:paraId="55D5576D" w14:textId="77777777" w:rsidR="00597CC3" w:rsidRDefault="00597CC3">
            <w:pPr>
              <w:widowControl w:val="0"/>
              <w:spacing w:after="200" w:line="276" w:lineRule="auto"/>
              <w:rPr>
                <w:rFonts w:ascii="Calibri" w:eastAsia="Calibri" w:hAnsi="Calibri" w:cs="Calibri"/>
              </w:rPr>
            </w:pPr>
          </w:p>
          <w:p w14:paraId="1803A126" w14:textId="77777777" w:rsidR="00597CC3" w:rsidRDefault="00597CC3">
            <w:pPr>
              <w:widowControl w:val="0"/>
              <w:spacing w:after="200" w:line="276" w:lineRule="auto"/>
              <w:rPr>
                <w:rFonts w:ascii="Calibri" w:eastAsia="Calibri" w:hAnsi="Calibri" w:cs="Calibri"/>
              </w:rPr>
            </w:pPr>
          </w:p>
          <w:p w14:paraId="3B6E91EC" w14:textId="5E49E0EE"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1BE0D477"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2D0FA3E8" wp14:editId="4C0FC024">
                  <wp:extent cx="508000" cy="342900"/>
                  <wp:effectExtent l="0" t="0" r="0" b="0"/>
                  <wp:docPr id="1153"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1B43A8E2"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Garrity V. New Jersey</w:t>
            </w:r>
          </w:p>
        </w:tc>
      </w:tr>
      <w:tr w:rsidR="002B6FD6" w14:paraId="7430CD4A" w14:textId="77777777">
        <w:tc>
          <w:tcPr>
            <w:tcW w:w="900" w:type="dxa"/>
            <w:tcBorders>
              <w:top w:val="single" w:sz="4" w:space="0" w:color="000000"/>
              <w:left w:val="single" w:sz="4" w:space="0" w:color="000000"/>
              <w:bottom w:val="single" w:sz="4" w:space="0" w:color="000000"/>
              <w:right w:val="single" w:sz="4" w:space="0" w:color="000000"/>
            </w:tcBorders>
          </w:tcPr>
          <w:p w14:paraId="18362EE1"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71B12F5F"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Garrity</w:t>
            </w:r>
          </w:p>
          <w:p w14:paraId="35735436"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134AFC26" wp14:editId="3EB7F3D4">
                  <wp:extent cx="2804160" cy="2103120"/>
                  <wp:effectExtent l="38100" t="38100" r="38100" b="38100"/>
                  <wp:docPr id="115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4726978" w14:textId="77777777" w:rsidR="002B6FD6" w:rsidRDefault="00000000">
            <w:pPr>
              <w:widowControl w:val="0"/>
              <w:numPr>
                <w:ilvl w:val="0"/>
                <w:numId w:val="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warning must clearly inform the staff member that their statements will not be used in criminal proceedings, and that they may be disciplined or terminated if they choose not to cooperate. </w:t>
            </w:r>
          </w:p>
          <w:p w14:paraId="5444EFDE" w14:textId="77777777" w:rsidR="002B6FD6" w:rsidRDefault="00000000">
            <w:pPr>
              <w:widowControl w:val="0"/>
              <w:numPr>
                <w:ilvl w:val="0"/>
                <w:numId w:val="6"/>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This means that the Garrity warning should </w:t>
            </w:r>
            <w:r>
              <w:rPr>
                <w:rFonts w:ascii="Calibri" w:eastAsia="Calibri" w:hAnsi="Calibri" w:cs="Calibri"/>
                <w:color w:val="000000"/>
              </w:rPr>
              <w:t>never be used if there is any chance that the information established in that interview will be used in a criminal proceeding.</w:t>
            </w:r>
          </w:p>
        </w:tc>
        <w:tc>
          <w:tcPr>
            <w:tcW w:w="1890" w:type="dxa"/>
            <w:tcBorders>
              <w:top w:val="single" w:sz="4" w:space="0" w:color="000000"/>
              <w:left w:val="single" w:sz="4" w:space="0" w:color="000000"/>
              <w:bottom w:val="single" w:sz="4" w:space="0" w:color="000000"/>
              <w:right w:val="single" w:sz="4" w:space="0" w:color="000000"/>
            </w:tcBorders>
          </w:tcPr>
          <w:p w14:paraId="73B2F83A"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3211E46F" wp14:editId="737536AF">
                  <wp:extent cx="508000" cy="342900"/>
                  <wp:effectExtent l="0" t="0" r="0" b="0"/>
                  <wp:docPr id="1155"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3E9CE72"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Garrity</w:t>
            </w:r>
          </w:p>
          <w:p w14:paraId="2BA1AB2E"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6714945B" w14:textId="77777777">
        <w:tc>
          <w:tcPr>
            <w:tcW w:w="900" w:type="dxa"/>
            <w:tcBorders>
              <w:top w:val="single" w:sz="4" w:space="0" w:color="000000"/>
              <w:left w:val="single" w:sz="4" w:space="0" w:color="000000"/>
              <w:bottom w:val="single" w:sz="4" w:space="0" w:color="000000"/>
              <w:right w:val="single" w:sz="4" w:space="0" w:color="000000"/>
            </w:tcBorders>
          </w:tcPr>
          <w:p w14:paraId="0F4077F6"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3746D762"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Garrity: The Investigative Process</w:t>
            </w:r>
          </w:p>
          <w:p w14:paraId="33C19B3A"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72BFD8E6" wp14:editId="44F0DD2D">
                  <wp:extent cx="2804160" cy="2103120"/>
                  <wp:effectExtent l="38100" t="38100" r="38100" b="38100"/>
                  <wp:docPr id="115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56CC4A2" w14:textId="77777777" w:rsidR="002B6FD6" w:rsidRDefault="00000000">
            <w:pPr>
              <w:widowControl w:val="0"/>
              <w:numPr>
                <w:ilvl w:val="0"/>
                <w:numId w:val="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If you interview a staff member who is a suspect in a criminal case before the case goes to trial, and you receive information from that staff member regarding their guilt, the burden of proof is on the prosecutor to demonstrate that information was not shared from those interviews with the criminal investigators. </w:t>
            </w:r>
          </w:p>
          <w:p w14:paraId="58C0360B" w14:textId="77777777" w:rsidR="002B6FD6" w:rsidRDefault="00000000">
            <w:pPr>
              <w:widowControl w:val="0"/>
              <w:numPr>
                <w:ilvl w:val="0"/>
                <w:numId w:val="8"/>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This is a very difficult thing to prove, since it involves </w:t>
            </w:r>
            <w:r>
              <w:rPr>
                <w:rFonts w:ascii="Calibri" w:eastAsia="Calibri" w:hAnsi="Calibri" w:cs="Calibri"/>
                <w:color w:val="000000"/>
              </w:rPr>
              <w:lastRenderedPageBreak/>
              <w:t xml:space="preserve">proving that no communication took place or that the investigators were ignorant of the staff member’s guilt. </w:t>
            </w:r>
          </w:p>
        </w:tc>
        <w:tc>
          <w:tcPr>
            <w:tcW w:w="1890" w:type="dxa"/>
            <w:tcBorders>
              <w:top w:val="single" w:sz="4" w:space="0" w:color="000000"/>
              <w:left w:val="single" w:sz="4" w:space="0" w:color="000000"/>
              <w:bottom w:val="single" w:sz="4" w:space="0" w:color="000000"/>
              <w:right w:val="single" w:sz="4" w:space="0" w:color="000000"/>
            </w:tcBorders>
          </w:tcPr>
          <w:p w14:paraId="60E630DD"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6761D74B" wp14:editId="2F8D512F">
                  <wp:extent cx="508000" cy="342900"/>
                  <wp:effectExtent l="0" t="0" r="0" b="0"/>
                  <wp:docPr id="1157"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79ED8B90"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Garrity: The Investigative Process</w:t>
            </w:r>
          </w:p>
          <w:p w14:paraId="29100821"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2E98B4AA" w14:textId="77777777">
        <w:tc>
          <w:tcPr>
            <w:tcW w:w="900" w:type="dxa"/>
            <w:tcBorders>
              <w:top w:val="single" w:sz="4" w:space="0" w:color="000000"/>
              <w:left w:val="single" w:sz="4" w:space="0" w:color="000000"/>
              <w:bottom w:val="single" w:sz="4" w:space="0" w:color="000000"/>
              <w:right w:val="single" w:sz="4" w:space="0" w:color="000000"/>
            </w:tcBorders>
          </w:tcPr>
          <w:p w14:paraId="1B8C5402"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717F883F"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Garrity: The Investigative Process</w:t>
            </w:r>
          </w:p>
          <w:p w14:paraId="449AC994"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5B7031FE" wp14:editId="7A3AC6C5">
                  <wp:extent cx="2804161" cy="2103120"/>
                  <wp:effectExtent l="38100" t="38100" r="38100" b="38100"/>
                  <wp:docPr id="115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1"/>
                          <a:srcRect/>
                          <a:stretch>
                            <a:fillRect/>
                          </a:stretch>
                        </pic:blipFill>
                        <pic:spPr>
                          <a:xfrm>
                            <a:off x="0" y="0"/>
                            <a:ext cx="2804161" cy="2103120"/>
                          </a:xfrm>
                          <a:prstGeom prst="rect">
                            <a:avLst/>
                          </a:prstGeom>
                          <a:ln w="38100">
                            <a:solidFill>
                              <a:srgbClr val="000000"/>
                            </a:solidFill>
                            <a:prstDash val="solid"/>
                          </a:ln>
                        </pic:spPr>
                      </pic:pic>
                    </a:graphicData>
                  </a:graphic>
                </wp:inline>
              </w:drawing>
            </w:r>
          </w:p>
          <w:p w14:paraId="013413CD" w14:textId="77777777" w:rsidR="002B6FD6" w:rsidRDefault="00000000">
            <w:pPr>
              <w:widowControl w:val="0"/>
              <w:numPr>
                <w:ilvl w:val="0"/>
                <w:numId w:val="1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What should you do? If you need to interview the staff member before the criminal case is complete, try a non-coerced interview. </w:t>
            </w:r>
          </w:p>
          <w:p w14:paraId="45E85B91" w14:textId="77777777" w:rsidR="002B6FD6" w:rsidRDefault="00000000">
            <w:pPr>
              <w:widowControl w:val="0"/>
              <w:numPr>
                <w:ilvl w:val="0"/>
                <w:numId w:val="10"/>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This means that you would </w:t>
            </w:r>
            <w:r>
              <w:rPr>
                <w:rFonts w:ascii="Calibri" w:eastAsia="Calibri" w:hAnsi="Calibri" w:cs="Calibri"/>
                <w:i/>
                <w:color w:val="000000"/>
              </w:rPr>
              <w:t>not</w:t>
            </w:r>
            <w:r>
              <w:rPr>
                <w:rFonts w:ascii="Calibri" w:eastAsia="Calibri" w:hAnsi="Calibri" w:cs="Calibri"/>
                <w:color w:val="000000"/>
              </w:rPr>
              <w:t xml:space="preserve"> threaten staff with termination, which would make it a coerced interview. </w:t>
            </w:r>
          </w:p>
        </w:tc>
        <w:tc>
          <w:tcPr>
            <w:tcW w:w="1890" w:type="dxa"/>
            <w:tcBorders>
              <w:top w:val="single" w:sz="4" w:space="0" w:color="000000"/>
              <w:left w:val="single" w:sz="4" w:space="0" w:color="000000"/>
              <w:bottom w:val="single" w:sz="4" w:space="0" w:color="000000"/>
              <w:right w:val="single" w:sz="4" w:space="0" w:color="000000"/>
            </w:tcBorders>
          </w:tcPr>
          <w:p w14:paraId="7E0D9713"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3BE86A2E" wp14:editId="5E3E2EDE">
                  <wp:extent cx="508000" cy="342900"/>
                  <wp:effectExtent l="0" t="0" r="0" b="0"/>
                  <wp:docPr id="1159"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A69B18E"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Garrity: The Investigative Process</w:t>
            </w:r>
          </w:p>
          <w:p w14:paraId="73CD85F3" w14:textId="77777777" w:rsidR="002B6FD6" w:rsidRDefault="002B6FD6">
            <w:pPr>
              <w:tabs>
                <w:tab w:val="left" w:pos="7290"/>
              </w:tabs>
              <w:rPr>
                <w:rFonts w:ascii="Calibri" w:eastAsia="Calibri" w:hAnsi="Calibri" w:cs="Calibri"/>
                <w:b/>
                <w:color w:val="336600"/>
                <w:sz w:val="20"/>
                <w:szCs w:val="20"/>
              </w:rPr>
            </w:pPr>
          </w:p>
        </w:tc>
      </w:tr>
      <w:tr w:rsidR="002B6FD6" w14:paraId="724C2F37" w14:textId="77777777">
        <w:tc>
          <w:tcPr>
            <w:tcW w:w="900" w:type="dxa"/>
            <w:tcBorders>
              <w:top w:val="single" w:sz="4" w:space="0" w:color="000000"/>
              <w:left w:val="single" w:sz="4" w:space="0" w:color="000000"/>
              <w:bottom w:val="single" w:sz="4" w:space="0" w:color="000000"/>
              <w:right w:val="single" w:sz="4" w:space="0" w:color="000000"/>
            </w:tcBorders>
          </w:tcPr>
          <w:p w14:paraId="33579B20" w14:textId="77777777" w:rsidR="002B6FD6" w:rsidRDefault="00000000">
            <w:pPr>
              <w:tabs>
                <w:tab w:val="left" w:pos="7290"/>
              </w:tabs>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42E6EB66"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Garrity: The Investigative Process</w:t>
            </w:r>
          </w:p>
          <w:p w14:paraId="2FE17A8D"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298D16B" wp14:editId="0BA6B663">
                  <wp:extent cx="2804160" cy="2103120"/>
                  <wp:effectExtent l="38100" t="38100" r="38100" b="38100"/>
                  <wp:docPr id="116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7AE9D58"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Alternatively, let the criminal case move forward with the awareness that it may last for months or even years.</w:t>
            </w:r>
          </w:p>
          <w:p w14:paraId="47B9CCB2" w14:textId="77777777" w:rsidR="00597CC3" w:rsidRDefault="00597CC3">
            <w:pPr>
              <w:widowControl w:val="0"/>
              <w:spacing w:after="200" w:line="276" w:lineRule="auto"/>
              <w:rPr>
                <w:rFonts w:ascii="Calibri" w:eastAsia="Calibri" w:hAnsi="Calibri" w:cs="Calibri"/>
              </w:rPr>
            </w:pPr>
          </w:p>
          <w:p w14:paraId="78274C89" w14:textId="77777777" w:rsidR="00597CC3" w:rsidRDefault="00597CC3">
            <w:pPr>
              <w:widowControl w:val="0"/>
              <w:spacing w:after="200" w:line="276" w:lineRule="auto"/>
              <w:rPr>
                <w:rFonts w:ascii="Calibri" w:eastAsia="Calibri" w:hAnsi="Calibri" w:cs="Calibri"/>
              </w:rPr>
            </w:pPr>
          </w:p>
        </w:tc>
        <w:tc>
          <w:tcPr>
            <w:tcW w:w="1890" w:type="dxa"/>
            <w:tcBorders>
              <w:top w:val="single" w:sz="4" w:space="0" w:color="000000"/>
              <w:left w:val="single" w:sz="4" w:space="0" w:color="000000"/>
              <w:bottom w:val="single" w:sz="4" w:space="0" w:color="000000"/>
              <w:right w:val="single" w:sz="4" w:space="0" w:color="000000"/>
            </w:tcBorders>
          </w:tcPr>
          <w:p w14:paraId="16B01164"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15AFB681" wp14:editId="10F931BB">
                  <wp:extent cx="508000" cy="342900"/>
                  <wp:effectExtent l="0" t="0" r="0" b="0"/>
                  <wp:docPr id="104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7B97F946"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Garrity: The Investigative Process</w:t>
            </w:r>
          </w:p>
          <w:p w14:paraId="1042EB5E" w14:textId="77777777" w:rsidR="002B6FD6" w:rsidRDefault="002B6FD6">
            <w:pPr>
              <w:tabs>
                <w:tab w:val="left" w:pos="7290"/>
              </w:tabs>
              <w:rPr>
                <w:rFonts w:ascii="Calibri" w:eastAsia="Calibri" w:hAnsi="Calibri" w:cs="Calibri"/>
                <w:b/>
                <w:color w:val="336600"/>
                <w:sz w:val="20"/>
                <w:szCs w:val="20"/>
              </w:rPr>
            </w:pPr>
          </w:p>
        </w:tc>
      </w:tr>
      <w:tr w:rsidR="002B6FD6" w14:paraId="25349A63" w14:textId="77777777">
        <w:tc>
          <w:tcPr>
            <w:tcW w:w="900" w:type="dxa"/>
            <w:tcBorders>
              <w:top w:val="single" w:sz="4" w:space="0" w:color="000000"/>
              <w:left w:val="single" w:sz="4" w:space="0" w:color="000000"/>
              <w:bottom w:val="single" w:sz="4" w:space="0" w:color="000000"/>
              <w:right w:val="single" w:sz="4" w:space="0" w:color="000000"/>
            </w:tcBorders>
          </w:tcPr>
          <w:p w14:paraId="6FBC486A" w14:textId="77777777" w:rsidR="002B6FD6" w:rsidRDefault="00000000">
            <w:pPr>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2532F907"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 xml:space="preserve">Court </w:t>
            </w:r>
            <w:r>
              <w:rPr>
                <w:rFonts w:ascii="Calibri" w:eastAsia="Calibri" w:hAnsi="Calibri" w:cs="Calibri"/>
                <w:b/>
                <w:color w:val="000000"/>
              </w:rPr>
              <w:t>Approach</w:t>
            </w:r>
          </w:p>
          <w:p w14:paraId="2F885863"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2F5959F" wp14:editId="6279C190">
                  <wp:extent cx="2804160" cy="2103120"/>
                  <wp:effectExtent l="38100" t="38100" r="38100" b="38100"/>
                  <wp:docPr id="10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CB39573" w14:textId="77777777" w:rsidR="002B6FD6" w:rsidRDefault="00000000">
            <w:pPr>
              <w:tabs>
                <w:tab w:val="left" w:pos="420"/>
                <w:tab w:val="center" w:pos="1062"/>
                <w:tab w:val="left" w:pos="7290"/>
              </w:tabs>
              <w:spacing w:line="276" w:lineRule="auto"/>
              <w:rPr>
                <w:rFonts w:ascii="Calibri" w:eastAsia="Calibri" w:hAnsi="Calibri" w:cs="Calibri"/>
              </w:rPr>
            </w:pPr>
            <w:r>
              <w:rPr>
                <w:rFonts w:ascii="Calibri" w:eastAsia="Calibri" w:hAnsi="Calibri" w:cs="Calibri"/>
              </w:rPr>
              <w:t xml:space="preserve">Technically, courts do not run or oversee prisons, but they will sometimes take that role during lawsuits and tell you what you should have done with the benefit of 20-20 hindsight. Administrators make decisions with the information they have in front of them at the time. So, the question here is how </w:t>
            </w:r>
            <w:proofErr w:type="gramStart"/>
            <w:r>
              <w:rPr>
                <w:rFonts w:ascii="Calibri" w:eastAsia="Calibri" w:hAnsi="Calibri" w:cs="Calibri"/>
              </w:rPr>
              <w:t>do you get</w:t>
            </w:r>
            <w:proofErr w:type="gramEnd"/>
            <w:r>
              <w:rPr>
                <w:rFonts w:ascii="Calibri" w:eastAsia="Calibri" w:hAnsi="Calibri" w:cs="Calibri"/>
              </w:rPr>
              <w:t xml:space="preserve"> the best information possible to make the right decisions and either avoid litigation in the first place or make decisions that will be supported by a judge. </w:t>
            </w:r>
          </w:p>
          <w:p w14:paraId="30791B32" w14:textId="77777777" w:rsidR="002B6FD6" w:rsidRDefault="002B6FD6">
            <w:pPr>
              <w:tabs>
                <w:tab w:val="left" w:pos="420"/>
                <w:tab w:val="center" w:pos="1062"/>
                <w:tab w:val="left" w:pos="7290"/>
              </w:tabs>
              <w:spacing w:line="276" w:lineRule="auto"/>
              <w:rPr>
                <w:rFonts w:ascii="Calibri" w:eastAsia="Calibri" w:hAnsi="Calibri" w:cs="Calibri"/>
              </w:rPr>
            </w:pPr>
          </w:p>
          <w:p w14:paraId="31150C68" w14:textId="77777777" w:rsidR="002B6FD6" w:rsidRDefault="00000000">
            <w:pPr>
              <w:tabs>
                <w:tab w:val="left" w:pos="420"/>
                <w:tab w:val="center" w:pos="1062"/>
                <w:tab w:val="left" w:pos="7290"/>
              </w:tabs>
              <w:spacing w:line="276" w:lineRule="auto"/>
              <w:rPr>
                <w:rFonts w:ascii="Calibri" w:eastAsia="Calibri" w:hAnsi="Calibri" w:cs="Calibri"/>
              </w:rPr>
            </w:pPr>
            <w:r>
              <w:rPr>
                <w:rFonts w:ascii="Calibri" w:eastAsia="Calibri" w:hAnsi="Calibri" w:cs="Calibri"/>
              </w:rPr>
              <w:t>How many of you have been sued or been involved in litigation at some level?</w:t>
            </w:r>
          </w:p>
          <w:p w14:paraId="0F89B0F3" w14:textId="77777777" w:rsidR="002B6FD6" w:rsidRDefault="002B6FD6">
            <w:pPr>
              <w:tabs>
                <w:tab w:val="left" w:pos="420"/>
                <w:tab w:val="center" w:pos="1062"/>
                <w:tab w:val="left" w:pos="7290"/>
              </w:tabs>
              <w:spacing w:line="276" w:lineRule="auto"/>
              <w:rPr>
                <w:rFonts w:ascii="Calibri" w:eastAsia="Calibri" w:hAnsi="Calibri" w:cs="Calibri"/>
              </w:rPr>
            </w:pPr>
          </w:p>
          <w:p w14:paraId="3056127A" w14:textId="77777777" w:rsidR="002B6FD6" w:rsidRDefault="00000000">
            <w:pPr>
              <w:tabs>
                <w:tab w:val="left" w:pos="420"/>
                <w:tab w:val="center" w:pos="1062"/>
                <w:tab w:val="left" w:pos="7290"/>
              </w:tabs>
              <w:spacing w:line="276" w:lineRule="auto"/>
              <w:rPr>
                <w:rFonts w:ascii="Calibri" w:eastAsia="Calibri" w:hAnsi="Calibri" w:cs="Calibri"/>
              </w:rPr>
            </w:pPr>
            <w:r>
              <w:rPr>
                <w:rFonts w:ascii="Calibri" w:eastAsia="Calibri" w:hAnsi="Calibri" w:cs="Calibri"/>
              </w:rPr>
              <w:t>When you have litigation, what comes along with it? Lawyers. And what do lawyers require? Money. Litigation may also involve media coverage and bad publicity. These are all reasons to avoid litigation.</w:t>
            </w:r>
          </w:p>
        </w:tc>
        <w:tc>
          <w:tcPr>
            <w:tcW w:w="1890" w:type="dxa"/>
            <w:tcBorders>
              <w:top w:val="single" w:sz="4" w:space="0" w:color="000000"/>
              <w:left w:val="single" w:sz="4" w:space="0" w:color="000000"/>
              <w:bottom w:val="single" w:sz="4" w:space="0" w:color="000000"/>
              <w:right w:val="single" w:sz="4" w:space="0" w:color="000000"/>
            </w:tcBorders>
          </w:tcPr>
          <w:p w14:paraId="710F8EA3"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7403921E" wp14:editId="48097CD0">
                  <wp:extent cx="508000" cy="342900"/>
                  <wp:effectExtent l="0" t="0" r="0" b="0"/>
                  <wp:docPr id="104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7CDFE584"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Court Approach</w:t>
            </w:r>
          </w:p>
          <w:p w14:paraId="34750525" w14:textId="77777777" w:rsidR="002B6FD6" w:rsidRDefault="002B6FD6">
            <w:pPr>
              <w:tabs>
                <w:tab w:val="left" w:pos="420"/>
                <w:tab w:val="center" w:pos="1062"/>
                <w:tab w:val="left" w:pos="7290"/>
              </w:tabs>
              <w:rPr>
                <w:rFonts w:ascii="Calibri" w:eastAsia="Calibri" w:hAnsi="Calibri" w:cs="Calibri"/>
                <w:sz w:val="20"/>
                <w:szCs w:val="20"/>
              </w:rPr>
            </w:pPr>
          </w:p>
          <w:p w14:paraId="08533097" w14:textId="77777777" w:rsidR="002B6FD6" w:rsidRDefault="002B6FD6">
            <w:pPr>
              <w:tabs>
                <w:tab w:val="left" w:pos="420"/>
                <w:tab w:val="center" w:pos="1062"/>
                <w:tab w:val="left" w:pos="7290"/>
              </w:tabs>
              <w:rPr>
                <w:rFonts w:ascii="Calibri" w:eastAsia="Calibri" w:hAnsi="Calibri" w:cs="Calibri"/>
                <w:sz w:val="20"/>
                <w:szCs w:val="20"/>
              </w:rPr>
            </w:pPr>
          </w:p>
          <w:p w14:paraId="7A7BC3A7" w14:textId="77777777" w:rsidR="002B6FD6" w:rsidRDefault="002B6FD6">
            <w:pPr>
              <w:tabs>
                <w:tab w:val="left" w:pos="420"/>
                <w:tab w:val="center" w:pos="1062"/>
                <w:tab w:val="left" w:pos="7290"/>
              </w:tabs>
              <w:rPr>
                <w:rFonts w:ascii="Calibri" w:eastAsia="Calibri" w:hAnsi="Calibri" w:cs="Calibri"/>
                <w:sz w:val="20"/>
                <w:szCs w:val="20"/>
              </w:rPr>
            </w:pPr>
          </w:p>
          <w:p w14:paraId="790DE3B6" w14:textId="77777777" w:rsidR="002B6FD6" w:rsidRDefault="002B6FD6">
            <w:pPr>
              <w:tabs>
                <w:tab w:val="left" w:pos="420"/>
                <w:tab w:val="center" w:pos="1062"/>
                <w:tab w:val="left" w:pos="7290"/>
              </w:tabs>
              <w:rPr>
                <w:rFonts w:ascii="Calibri" w:eastAsia="Calibri" w:hAnsi="Calibri" w:cs="Calibri"/>
                <w:sz w:val="20"/>
                <w:szCs w:val="20"/>
              </w:rPr>
            </w:pPr>
          </w:p>
          <w:p w14:paraId="24E5BBAC" w14:textId="77777777" w:rsidR="002B6FD6" w:rsidRDefault="002B6FD6">
            <w:pPr>
              <w:tabs>
                <w:tab w:val="left" w:pos="420"/>
                <w:tab w:val="center" w:pos="1062"/>
                <w:tab w:val="left" w:pos="7290"/>
              </w:tabs>
              <w:rPr>
                <w:rFonts w:ascii="Calibri" w:eastAsia="Calibri" w:hAnsi="Calibri" w:cs="Calibri"/>
                <w:sz w:val="20"/>
                <w:szCs w:val="20"/>
              </w:rPr>
            </w:pPr>
          </w:p>
          <w:p w14:paraId="1C5D8762" w14:textId="77777777" w:rsidR="002B6FD6" w:rsidRDefault="002B6FD6">
            <w:pPr>
              <w:tabs>
                <w:tab w:val="left" w:pos="420"/>
                <w:tab w:val="center" w:pos="1062"/>
                <w:tab w:val="left" w:pos="7290"/>
              </w:tabs>
              <w:rPr>
                <w:rFonts w:ascii="Calibri" w:eastAsia="Calibri" w:hAnsi="Calibri" w:cs="Calibri"/>
                <w:sz w:val="20"/>
                <w:szCs w:val="20"/>
              </w:rPr>
            </w:pPr>
          </w:p>
          <w:p w14:paraId="4B1F8288" w14:textId="77777777" w:rsidR="002B6FD6" w:rsidRDefault="002B6FD6">
            <w:pPr>
              <w:tabs>
                <w:tab w:val="left" w:pos="420"/>
                <w:tab w:val="center" w:pos="1062"/>
                <w:tab w:val="left" w:pos="7290"/>
              </w:tabs>
              <w:rPr>
                <w:rFonts w:ascii="Calibri" w:eastAsia="Calibri" w:hAnsi="Calibri" w:cs="Calibri"/>
                <w:sz w:val="20"/>
                <w:szCs w:val="20"/>
              </w:rPr>
            </w:pPr>
          </w:p>
          <w:p w14:paraId="12DF83A2" w14:textId="77777777" w:rsidR="002B6FD6" w:rsidRDefault="002B6FD6">
            <w:pPr>
              <w:tabs>
                <w:tab w:val="left" w:pos="420"/>
                <w:tab w:val="center" w:pos="1062"/>
                <w:tab w:val="left" w:pos="7290"/>
              </w:tabs>
              <w:rPr>
                <w:rFonts w:ascii="Calibri" w:eastAsia="Calibri" w:hAnsi="Calibri" w:cs="Calibri"/>
                <w:sz w:val="20"/>
                <w:szCs w:val="20"/>
              </w:rPr>
            </w:pPr>
          </w:p>
          <w:p w14:paraId="23C9AABB" w14:textId="77777777" w:rsidR="002B6FD6" w:rsidRDefault="002B6FD6">
            <w:pPr>
              <w:tabs>
                <w:tab w:val="left" w:pos="420"/>
                <w:tab w:val="center" w:pos="1062"/>
                <w:tab w:val="left" w:pos="7290"/>
              </w:tabs>
              <w:rPr>
                <w:rFonts w:ascii="Calibri" w:eastAsia="Calibri" w:hAnsi="Calibri" w:cs="Calibri"/>
                <w:sz w:val="20"/>
                <w:szCs w:val="20"/>
              </w:rPr>
            </w:pPr>
          </w:p>
          <w:p w14:paraId="0AA78959" w14:textId="77777777" w:rsidR="002B6FD6" w:rsidRDefault="002B6FD6">
            <w:pPr>
              <w:tabs>
                <w:tab w:val="left" w:pos="420"/>
                <w:tab w:val="center" w:pos="1062"/>
                <w:tab w:val="left" w:pos="7290"/>
              </w:tabs>
              <w:rPr>
                <w:rFonts w:ascii="Calibri" w:eastAsia="Calibri" w:hAnsi="Calibri" w:cs="Calibri"/>
                <w:sz w:val="20"/>
                <w:szCs w:val="20"/>
              </w:rPr>
            </w:pPr>
          </w:p>
          <w:p w14:paraId="584CE4C3" w14:textId="77777777" w:rsidR="002B6FD6" w:rsidRDefault="002B6FD6">
            <w:pPr>
              <w:tabs>
                <w:tab w:val="left" w:pos="420"/>
                <w:tab w:val="center" w:pos="1062"/>
                <w:tab w:val="left" w:pos="7290"/>
              </w:tabs>
              <w:rPr>
                <w:rFonts w:ascii="Calibri" w:eastAsia="Calibri" w:hAnsi="Calibri" w:cs="Calibri"/>
                <w:sz w:val="20"/>
                <w:szCs w:val="20"/>
              </w:rPr>
            </w:pPr>
          </w:p>
          <w:p w14:paraId="18F0E6FB" w14:textId="77777777" w:rsidR="002B6FD6" w:rsidRDefault="002B6FD6">
            <w:pPr>
              <w:tabs>
                <w:tab w:val="left" w:pos="420"/>
                <w:tab w:val="center" w:pos="1062"/>
                <w:tab w:val="left" w:pos="7290"/>
              </w:tabs>
              <w:rPr>
                <w:rFonts w:ascii="Calibri" w:eastAsia="Calibri" w:hAnsi="Calibri" w:cs="Calibri"/>
                <w:sz w:val="20"/>
                <w:szCs w:val="20"/>
              </w:rPr>
            </w:pPr>
          </w:p>
          <w:p w14:paraId="6CD9F25D" w14:textId="77777777" w:rsidR="002B6FD6" w:rsidRDefault="002B6FD6">
            <w:pPr>
              <w:tabs>
                <w:tab w:val="left" w:pos="420"/>
                <w:tab w:val="center" w:pos="1062"/>
                <w:tab w:val="left" w:pos="7290"/>
              </w:tabs>
              <w:rPr>
                <w:rFonts w:ascii="Calibri" w:eastAsia="Calibri" w:hAnsi="Calibri" w:cs="Calibri"/>
                <w:sz w:val="20"/>
                <w:szCs w:val="20"/>
              </w:rPr>
            </w:pPr>
          </w:p>
          <w:p w14:paraId="0033C90F" w14:textId="77777777" w:rsidR="002B6FD6" w:rsidRDefault="002B6FD6">
            <w:pPr>
              <w:tabs>
                <w:tab w:val="left" w:pos="420"/>
                <w:tab w:val="center" w:pos="1062"/>
                <w:tab w:val="left" w:pos="7290"/>
              </w:tabs>
              <w:rPr>
                <w:rFonts w:ascii="Calibri" w:eastAsia="Calibri" w:hAnsi="Calibri" w:cs="Calibri"/>
                <w:sz w:val="20"/>
                <w:szCs w:val="20"/>
              </w:rPr>
            </w:pPr>
          </w:p>
          <w:p w14:paraId="5DB4EDE2" w14:textId="77777777" w:rsidR="002B6FD6" w:rsidRDefault="002B6FD6">
            <w:pPr>
              <w:tabs>
                <w:tab w:val="left" w:pos="420"/>
                <w:tab w:val="center" w:pos="1062"/>
                <w:tab w:val="left" w:pos="7290"/>
              </w:tabs>
              <w:rPr>
                <w:rFonts w:ascii="Calibri" w:eastAsia="Calibri" w:hAnsi="Calibri" w:cs="Calibri"/>
                <w:sz w:val="20"/>
                <w:szCs w:val="20"/>
              </w:rPr>
            </w:pPr>
          </w:p>
          <w:p w14:paraId="0116E21B" w14:textId="77777777" w:rsidR="002B6FD6" w:rsidRDefault="002B6FD6">
            <w:pPr>
              <w:tabs>
                <w:tab w:val="left" w:pos="420"/>
                <w:tab w:val="center" w:pos="1062"/>
                <w:tab w:val="left" w:pos="7290"/>
              </w:tabs>
              <w:rPr>
                <w:rFonts w:ascii="Calibri" w:eastAsia="Calibri" w:hAnsi="Calibri" w:cs="Calibri"/>
                <w:sz w:val="20"/>
                <w:szCs w:val="20"/>
              </w:rPr>
            </w:pPr>
          </w:p>
          <w:p w14:paraId="65ECCFFE" w14:textId="77777777" w:rsidR="002B6FD6" w:rsidRDefault="002B6FD6">
            <w:pPr>
              <w:tabs>
                <w:tab w:val="left" w:pos="420"/>
                <w:tab w:val="center" w:pos="1062"/>
                <w:tab w:val="left" w:pos="7290"/>
              </w:tabs>
              <w:rPr>
                <w:rFonts w:ascii="Calibri" w:eastAsia="Calibri" w:hAnsi="Calibri" w:cs="Calibri"/>
                <w:sz w:val="20"/>
                <w:szCs w:val="20"/>
              </w:rPr>
            </w:pPr>
          </w:p>
          <w:p w14:paraId="48F4273B" w14:textId="77777777" w:rsidR="002B6FD6" w:rsidRDefault="002B6FD6">
            <w:pPr>
              <w:tabs>
                <w:tab w:val="left" w:pos="420"/>
                <w:tab w:val="center" w:pos="1062"/>
                <w:tab w:val="left" w:pos="7290"/>
              </w:tabs>
              <w:rPr>
                <w:rFonts w:ascii="Calibri" w:eastAsia="Calibri" w:hAnsi="Calibri" w:cs="Calibri"/>
                <w:sz w:val="20"/>
                <w:szCs w:val="20"/>
              </w:rPr>
            </w:pPr>
          </w:p>
          <w:p w14:paraId="5991CD36" w14:textId="77777777" w:rsidR="002B6FD6" w:rsidRDefault="002B6FD6">
            <w:pPr>
              <w:tabs>
                <w:tab w:val="left" w:pos="420"/>
                <w:tab w:val="center" w:pos="1062"/>
                <w:tab w:val="left" w:pos="7290"/>
              </w:tabs>
              <w:rPr>
                <w:rFonts w:ascii="Calibri" w:eastAsia="Calibri" w:hAnsi="Calibri" w:cs="Calibri"/>
                <w:sz w:val="20"/>
                <w:szCs w:val="20"/>
              </w:rPr>
            </w:pPr>
          </w:p>
          <w:p w14:paraId="497A7519" w14:textId="77777777" w:rsidR="002B6FD6" w:rsidRDefault="002B6FD6">
            <w:pPr>
              <w:tabs>
                <w:tab w:val="left" w:pos="420"/>
                <w:tab w:val="center" w:pos="1062"/>
                <w:tab w:val="left" w:pos="7290"/>
              </w:tabs>
              <w:rPr>
                <w:rFonts w:ascii="Calibri" w:eastAsia="Calibri" w:hAnsi="Calibri" w:cs="Calibri"/>
                <w:sz w:val="20"/>
                <w:szCs w:val="20"/>
              </w:rPr>
            </w:pPr>
          </w:p>
          <w:p w14:paraId="79EB09CF" w14:textId="77777777" w:rsidR="002B6FD6" w:rsidRDefault="002B6FD6">
            <w:pPr>
              <w:tabs>
                <w:tab w:val="left" w:pos="420"/>
                <w:tab w:val="center" w:pos="1062"/>
                <w:tab w:val="left" w:pos="7290"/>
              </w:tabs>
              <w:rPr>
                <w:rFonts w:ascii="Calibri" w:eastAsia="Calibri" w:hAnsi="Calibri" w:cs="Calibri"/>
                <w:sz w:val="20"/>
                <w:szCs w:val="20"/>
              </w:rPr>
            </w:pPr>
          </w:p>
          <w:p w14:paraId="48E44036" w14:textId="77777777" w:rsidR="002B6FD6" w:rsidRDefault="002B6FD6">
            <w:pPr>
              <w:tabs>
                <w:tab w:val="left" w:pos="420"/>
                <w:tab w:val="center" w:pos="1062"/>
                <w:tab w:val="left" w:pos="7290"/>
              </w:tabs>
              <w:rPr>
                <w:rFonts w:ascii="Calibri" w:eastAsia="Calibri" w:hAnsi="Calibri" w:cs="Calibri"/>
                <w:sz w:val="20"/>
                <w:szCs w:val="20"/>
              </w:rPr>
            </w:pPr>
          </w:p>
          <w:p w14:paraId="778034C0" w14:textId="77777777" w:rsidR="002B6FD6" w:rsidRDefault="002B6FD6">
            <w:pPr>
              <w:tabs>
                <w:tab w:val="left" w:pos="420"/>
                <w:tab w:val="center" w:pos="1062"/>
                <w:tab w:val="left" w:pos="7290"/>
              </w:tabs>
              <w:rPr>
                <w:rFonts w:ascii="Calibri" w:eastAsia="Calibri" w:hAnsi="Calibri" w:cs="Calibri"/>
                <w:sz w:val="20"/>
                <w:szCs w:val="20"/>
              </w:rPr>
            </w:pPr>
          </w:p>
          <w:p w14:paraId="0C74A17D" w14:textId="77777777" w:rsidR="002B6FD6" w:rsidRDefault="002B6FD6">
            <w:pPr>
              <w:tabs>
                <w:tab w:val="left" w:pos="420"/>
                <w:tab w:val="center" w:pos="1062"/>
                <w:tab w:val="left" w:pos="7290"/>
              </w:tabs>
              <w:rPr>
                <w:rFonts w:ascii="Calibri" w:eastAsia="Calibri" w:hAnsi="Calibri" w:cs="Calibri"/>
                <w:sz w:val="20"/>
                <w:szCs w:val="20"/>
              </w:rPr>
            </w:pPr>
          </w:p>
          <w:p w14:paraId="7163F613" w14:textId="77777777" w:rsidR="002B6FD6" w:rsidRDefault="002B6FD6">
            <w:pPr>
              <w:tabs>
                <w:tab w:val="left" w:pos="420"/>
                <w:tab w:val="center" w:pos="1062"/>
                <w:tab w:val="left" w:pos="7290"/>
              </w:tabs>
              <w:rPr>
                <w:rFonts w:ascii="Calibri" w:eastAsia="Calibri" w:hAnsi="Calibri" w:cs="Calibri"/>
                <w:sz w:val="20"/>
                <w:szCs w:val="20"/>
              </w:rPr>
            </w:pPr>
          </w:p>
          <w:p w14:paraId="22E4238D"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Pause for show of hands. It is usually </w:t>
            </w:r>
            <w:proofErr w:type="gramStart"/>
            <w:r>
              <w:rPr>
                <w:rFonts w:ascii="Calibri" w:eastAsia="Calibri" w:hAnsi="Calibri" w:cs="Calibri"/>
                <w:sz w:val="20"/>
                <w:szCs w:val="20"/>
              </w:rPr>
              <w:t>the majority of</w:t>
            </w:r>
            <w:proofErr w:type="gramEnd"/>
            <w:r>
              <w:rPr>
                <w:rFonts w:ascii="Calibri" w:eastAsia="Calibri" w:hAnsi="Calibri" w:cs="Calibri"/>
                <w:sz w:val="20"/>
                <w:szCs w:val="20"/>
              </w:rPr>
              <w:t xml:space="preserve"> people in the room.</w:t>
            </w:r>
          </w:p>
        </w:tc>
      </w:tr>
      <w:tr w:rsidR="002B6FD6" w14:paraId="6F3BF220" w14:textId="77777777">
        <w:trPr>
          <w:trHeight w:val="6650"/>
        </w:trPr>
        <w:tc>
          <w:tcPr>
            <w:tcW w:w="900" w:type="dxa"/>
            <w:tcBorders>
              <w:top w:val="single" w:sz="4" w:space="0" w:color="000000"/>
              <w:left w:val="single" w:sz="4" w:space="0" w:color="000000"/>
              <w:bottom w:val="single" w:sz="4" w:space="0" w:color="000000"/>
              <w:right w:val="single" w:sz="4" w:space="0" w:color="000000"/>
            </w:tcBorders>
          </w:tcPr>
          <w:p w14:paraId="6E138A59" w14:textId="77777777" w:rsidR="002B6FD6" w:rsidRDefault="00000000">
            <w:pPr>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7EAF75FC"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What The Court Looks For</w:t>
            </w:r>
          </w:p>
          <w:p w14:paraId="2C4E35EA"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2F061167" wp14:editId="16D66E18">
                  <wp:extent cx="2804160" cy="2103120"/>
                  <wp:effectExtent l="38100" t="38100" r="38100" b="38100"/>
                  <wp:docPr id="10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77251A"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The court looks at: </w:t>
            </w:r>
          </w:p>
          <w:p w14:paraId="28D74125" w14:textId="77777777" w:rsidR="002B6FD6" w:rsidRDefault="00000000">
            <w:pPr>
              <w:widowControl w:val="0"/>
              <w:numPr>
                <w:ilvl w:val="0"/>
                <w:numId w:val="25"/>
              </w:numPr>
              <w:pBdr>
                <w:top w:val="nil"/>
                <w:left w:val="nil"/>
                <w:bottom w:val="nil"/>
                <w:right w:val="nil"/>
                <w:between w:val="nil"/>
              </w:pBdr>
              <w:spacing w:line="276" w:lineRule="auto"/>
              <w:rPr>
                <w:rFonts w:ascii="Calibri" w:eastAsia="Calibri" w:hAnsi="Calibri" w:cs="Calibri"/>
                <w:i/>
                <w:color w:val="000000"/>
              </w:rPr>
            </w:pPr>
            <w:r>
              <w:rPr>
                <w:rFonts w:ascii="Calibri" w:eastAsia="Calibri" w:hAnsi="Calibri" w:cs="Calibri"/>
                <w:color w:val="000000"/>
              </w:rPr>
              <w:t>Past behaviors and past complaints</w:t>
            </w:r>
          </w:p>
          <w:p w14:paraId="64EAF517" w14:textId="77777777" w:rsidR="002B6FD6" w:rsidRDefault="00000000">
            <w:pPr>
              <w:widowControl w:val="0"/>
              <w:numPr>
                <w:ilvl w:val="0"/>
                <w:numId w:val="35"/>
              </w:numPr>
              <w:pBdr>
                <w:top w:val="nil"/>
                <w:left w:val="nil"/>
                <w:bottom w:val="nil"/>
                <w:right w:val="nil"/>
                <w:between w:val="nil"/>
              </w:pBdr>
              <w:spacing w:after="200" w:line="276" w:lineRule="auto"/>
              <w:rPr>
                <w:rFonts w:ascii="Calibri" w:eastAsia="Calibri" w:hAnsi="Calibri" w:cs="Calibri"/>
                <w:i/>
                <w:color w:val="000000"/>
              </w:rPr>
            </w:pPr>
            <w:r>
              <w:rPr>
                <w:rFonts w:ascii="Calibri" w:eastAsia="Calibri" w:hAnsi="Calibri" w:cs="Calibri"/>
                <w:color w:val="000000"/>
              </w:rPr>
              <w:t>Investigations to see if allegations were appropriately addressed and if responses were adequate.</w:t>
            </w:r>
          </w:p>
          <w:p w14:paraId="24C96C97" w14:textId="77777777" w:rsidR="002B6FD6" w:rsidRDefault="00000000">
            <w:pPr>
              <w:widowControl w:val="0"/>
              <w:spacing w:after="200" w:line="276" w:lineRule="auto"/>
              <w:rPr>
                <w:rFonts w:ascii="Calibri" w:eastAsia="Calibri" w:hAnsi="Calibri" w:cs="Calibri"/>
                <w:i/>
              </w:rPr>
            </w:pPr>
            <w:r>
              <w:rPr>
                <w:rFonts w:ascii="Calibri" w:eastAsia="Calibri" w:hAnsi="Calibri" w:cs="Calibri"/>
              </w:rPr>
              <w:t>As an investigator, look for patterns of incidents, high risk situations, or facility weaknesses that exist and ensure administrators are aware of these so that they can be addressed.</w:t>
            </w:r>
          </w:p>
        </w:tc>
        <w:tc>
          <w:tcPr>
            <w:tcW w:w="1890" w:type="dxa"/>
            <w:tcBorders>
              <w:top w:val="single" w:sz="4" w:space="0" w:color="000000"/>
              <w:left w:val="single" w:sz="4" w:space="0" w:color="000000"/>
              <w:bottom w:val="single" w:sz="4" w:space="0" w:color="000000"/>
              <w:right w:val="single" w:sz="4" w:space="0" w:color="000000"/>
            </w:tcBorders>
          </w:tcPr>
          <w:p w14:paraId="5E57B2A6"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3B4A41BF" wp14:editId="2AC90A9D">
                  <wp:extent cx="508000" cy="342900"/>
                  <wp:effectExtent l="0" t="0" r="0" b="0"/>
                  <wp:docPr id="104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56D6351"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What The Court Looks For</w:t>
            </w:r>
          </w:p>
          <w:p w14:paraId="30881289"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245C0181" w14:textId="77777777">
        <w:tc>
          <w:tcPr>
            <w:tcW w:w="900" w:type="dxa"/>
            <w:tcBorders>
              <w:top w:val="single" w:sz="4" w:space="0" w:color="000000"/>
              <w:left w:val="single" w:sz="4" w:space="0" w:color="000000"/>
              <w:bottom w:val="single" w:sz="4" w:space="0" w:color="000000"/>
              <w:right w:val="single" w:sz="4" w:space="0" w:color="000000"/>
            </w:tcBorders>
          </w:tcPr>
          <w:p w14:paraId="69C4A617" w14:textId="77777777" w:rsidR="002B6FD6" w:rsidRDefault="00000000">
            <w:pPr>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3824B2EC"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Staff Sexual Misconduct Criminal Laws</w:t>
            </w:r>
          </w:p>
          <w:p w14:paraId="72F0D728"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7DA8F4C9" wp14:editId="55C3B55C">
                  <wp:extent cx="2804160" cy="2103120"/>
                  <wp:effectExtent l="38100" t="38100" r="38100" b="38100"/>
                  <wp:docPr id="10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C7B080E" w14:textId="77777777" w:rsidR="002B6FD6" w:rsidRDefault="00000000">
            <w:pPr>
              <w:widowControl w:val="0"/>
              <w:numPr>
                <w:ilvl w:val="0"/>
                <w:numId w:val="3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Criminal law has changed significantly over time. In the 1990s, several significant lawsuits raised national awareness around the issue of staff sexual misconduct. </w:t>
            </w:r>
          </w:p>
          <w:p w14:paraId="36F0B191" w14:textId="77777777" w:rsidR="002B6FD6" w:rsidRDefault="00000000">
            <w:pPr>
              <w:widowControl w:val="0"/>
              <w:numPr>
                <w:ilvl w:val="0"/>
                <w:numId w:val="37"/>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This attention resulted in an increase in state criminal laws addressing staff sexual misconduct and, eventually, </w:t>
            </w:r>
            <w:r>
              <w:rPr>
                <w:rFonts w:ascii="Calibri" w:eastAsia="Calibri" w:hAnsi="Calibri" w:cs="Calibri"/>
                <w:color w:val="000000"/>
              </w:rPr>
              <w:lastRenderedPageBreak/>
              <w:t>the Prison Rape Elimination Act.</w:t>
            </w:r>
          </w:p>
        </w:tc>
        <w:tc>
          <w:tcPr>
            <w:tcW w:w="1890" w:type="dxa"/>
            <w:tcBorders>
              <w:top w:val="single" w:sz="4" w:space="0" w:color="000000"/>
              <w:left w:val="single" w:sz="4" w:space="0" w:color="000000"/>
              <w:bottom w:val="single" w:sz="4" w:space="0" w:color="000000"/>
              <w:right w:val="single" w:sz="4" w:space="0" w:color="000000"/>
            </w:tcBorders>
          </w:tcPr>
          <w:p w14:paraId="4AD8CF28"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50116B74" wp14:editId="47542399">
                  <wp:extent cx="508000" cy="342900"/>
                  <wp:effectExtent l="0" t="0" r="0" b="0"/>
                  <wp:docPr id="1050"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7A90164E"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Staff Sexual Misconduct Criminal Laws</w:t>
            </w:r>
          </w:p>
          <w:p w14:paraId="04B4BA4E"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303DDED8" w14:textId="77777777">
        <w:tc>
          <w:tcPr>
            <w:tcW w:w="900" w:type="dxa"/>
            <w:tcBorders>
              <w:top w:val="single" w:sz="4" w:space="0" w:color="000000"/>
              <w:left w:val="single" w:sz="4" w:space="0" w:color="000000"/>
              <w:bottom w:val="single" w:sz="4" w:space="0" w:color="000000"/>
              <w:right w:val="single" w:sz="4" w:space="0" w:color="000000"/>
            </w:tcBorders>
          </w:tcPr>
          <w:p w14:paraId="78B26A0E" w14:textId="77777777" w:rsidR="002B6FD6" w:rsidRDefault="00000000">
            <w:pPr>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6F9BA421"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Staff Sexual Misconduct Criminal Laws</w:t>
            </w:r>
          </w:p>
          <w:p w14:paraId="40F4685F"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01E671FD" wp14:editId="00AF9C61">
                  <wp:extent cx="2804161" cy="2103120"/>
                  <wp:effectExtent l="38100" t="38100" r="38100" b="38100"/>
                  <wp:docPr id="1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804161" cy="2103120"/>
                          </a:xfrm>
                          <a:prstGeom prst="rect">
                            <a:avLst/>
                          </a:prstGeom>
                          <a:ln w="38100">
                            <a:solidFill>
                              <a:srgbClr val="000000"/>
                            </a:solidFill>
                            <a:prstDash val="solid"/>
                          </a:ln>
                        </pic:spPr>
                      </pic:pic>
                    </a:graphicData>
                  </a:graphic>
                </wp:inline>
              </w:drawing>
            </w:r>
          </w:p>
          <w:p w14:paraId="7B54CB04"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Now, all 50 states and the federal government have laws that specifically cover the issue of sexual abuse of people in custody. </w:t>
            </w:r>
          </w:p>
        </w:tc>
        <w:tc>
          <w:tcPr>
            <w:tcW w:w="1890" w:type="dxa"/>
            <w:tcBorders>
              <w:top w:val="single" w:sz="4" w:space="0" w:color="000000"/>
              <w:left w:val="single" w:sz="4" w:space="0" w:color="000000"/>
              <w:bottom w:val="single" w:sz="4" w:space="0" w:color="000000"/>
              <w:right w:val="single" w:sz="4" w:space="0" w:color="000000"/>
            </w:tcBorders>
          </w:tcPr>
          <w:p w14:paraId="7EFD55BB"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6C0EE1D2" wp14:editId="11FA290D">
                  <wp:extent cx="508000" cy="342900"/>
                  <wp:effectExtent l="0" t="0" r="0" b="0"/>
                  <wp:docPr id="105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7CEDBBF"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Staff Sexual Misconduct Criminal Laws</w:t>
            </w:r>
          </w:p>
          <w:p w14:paraId="35D10F1F"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650D44BB" w14:textId="77777777">
        <w:tc>
          <w:tcPr>
            <w:tcW w:w="900" w:type="dxa"/>
            <w:tcBorders>
              <w:top w:val="single" w:sz="4" w:space="0" w:color="000000"/>
              <w:left w:val="single" w:sz="4" w:space="0" w:color="000000"/>
              <w:bottom w:val="single" w:sz="4" w:space="0" w:color="000000"/>
              <w:right w:val="single" w:sz="4" w:space="0" w:color="000000"/>
            </w:tcBorders>
          </w:tcPr>
          <w:p w14:paraId="509AE25A" w14:textId="77777777" w:rsidR="002B6FD6" w:rsidRDefault="00000000">
            <w:pP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60EA8763"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color w:val="000000"/>
              </w:rPr>
              <w:t>1990 State Laws Prohibiting Staff Sexual Abuse</w:t>
            </w:r>
          </w:p>
          <w:p w14:paraId="2058C200"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i/>
                <w:noProof/>
                <w:color w:val="000000"/>
              </w:rPr>
              <w:drawing>
                <wp:inline distT="0" distB="0" distL="0" distR="0" wp14:anchorId="45059072" wp14:editId="01832C27">
                  <wp:extent cx="2803706" cy="2103120"/>
                  <wp:effectExtent l="38100" t="38100" r="38100" b="38100"/>
                  <wp:docPr id="10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2803706" cy="2103120"/>
                          </a:xfrm>
                          <a:prstGeom prst="rect">
                            <a:avLst/>
                          </a:prstGeom>
                          <a:ln w="38100">
                            <a:solidFill>
                              <a:srgbClr val="000000"/>
                            </a:solidFill>
                            <a:prstDash val="solid"/>
                          </a:ln>
                        </pic:spPr>
                      </pic:pic>
                    </a:graphicData>
                  </a:graphic>
                </wp:inline>
              </w:drawing>
            </w:r>
          </w:p>
          <w:p w14:paraId="08173619" w14:textId="77777777" w:rsidR="002B6FD6" w:rsidRDefault="002B6FD6">
            <w:pPr>
              <w:widowControl w:val="0"/>
              <w:pBdr>
                <w:top w:val="nil"/>
                <w:left w:val="nil"/>
                <w:bottom w:val="nil"/>
                <w:right w:val="nil"/>
                <w:between w:val="nil"/>
              </w:pBdr>
              <w:spacing w:line="276" w:lineRule="auto"/>
              <w:rPr>
                <w:rFonts w:ascii="Calibri" w:eastAsia="Calibri" w:hAnsi="Calibri" w:cs="Calibri"/>
                <w:b/>
                <w:i/>
                <w:color w:val="000000"/>
              </w:rPr>
            </w:pPr>
          </w:p>
          <w:p w14:paraId="08303147" w14:textId="77777777" w:rsidR="002B6FD6" w:rsidRDefault="00000000">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In 1990, less than half the states had laws addressing the sexual abuse of people in custody.</w:t>
            </w:r>
          </w:p>
          <w:p w14:paraId="7C4B280B" w14:textId="77777777" w:rsidR="00597CC3" w:rsidRDefault="00597CC3">
            <w:pPr>
              <w:widowControl w:val="0"/>
              <w:pBdr>
                <w:top w:val="nil"/>
                <w:left w:val="nil"/>
                <w:bottom w:val="nil"/>
                <w:right w:val="nil"/>
                <w:between w:val="nil"/>
              </w:pBdr>
              <w:spacing w:after="200" w:line="276" w:lineRule="auto"/>
              <w:rPr>
                <w:rFonts w:ascii="Calibri" w:eastAsia="Calibri" w:hAnsi="Calibri" w:cs="Calibri"/>
                <w:color w:val="000000"/>
              </w:rPr>
            </w:pPr>
          </w:p>
          <w:p w14:paraId="066FF978" w14:textId="77777777" w:rsidR="00597CC3" w:rsidRDefault="00597CC3">
            <w:pPr>
              <w:widowControl w:val="0"/>
              <w:pBdr>
                <w:top w:val="nil"/>
                <w:left w:val="nil"/>
                <w:bottom w:val="nil"/>
                <w:right w:val="nil"/>
                <w:between w:val="nil"/>
              </w:pBdr>
              <w:spacing w:after="200" w:line="276" w:lineRule="auto"/>
              <w:rPr>
                <w:rFonts w:ascii="Calibri" w:eastAsia="Calibri" w:hAnsi="Calibri" w:cs="Calibri"/>
                <w:color w:val="000000"/>
              </w:rPr>
            </w:pPr>
          </w:p>
          <w:p w14:paraId="03A96FCF" w14:textId="77777777" w:rsidR="00597CC3" w:rsidRDefault="00597CC3">
            <w:pPr>
              <w:widowControl w:val="0"/>
              <w:pBdr>
                <w:top w:val="nil"/>
                <w:left w:val="nil"/>
                <w:bottom w:val="nil"/>
                <w:right w:val="nil"/>
                <w:between w:val="nil"/>
              </w:pBdr>
              <w:spacing w:after="200" w:line="276" w:lineRule="auto"/>
              <w:rPr>
                <w:rFonts w:ascii="Calibri" w:eastAsia="Calibri" w:hAnsi="Calibri" w:cs="Calibri"/>
                <w:color w:val="000000"/>
              </w:rPr>
            </w:pPr>
          </w:p>
          <w:p w14:paraId="7D83041E" w14:textId="77777777" w:rsidR="00597CC3" w:rsidRDefault="00597CC3">
            <w:pPr>
              <w:widowControl w:val="0"/>
              <w:pBdr>
                <w:top w:val="nil"/>
                <w:left w:val="nil"/>
                <w:bottom w:val="nil"/>
                <w:right w:val="nil"/>
                <w:between w:val="nil"/>
              </w:pBdr>
              <w:spacing w:after="200" w:line="276" w:lineRule="auto"/>
              <w:rPr>
                <w:rFonts w:ascii="Calibri" w:eastAsia="Calibri" w:hAnsi="Calibri" w:cs="Calibri"/>
                <w:color w:val="000000"/>
              </w:rPr>
            </w:pPr>
          </w:p>
        </w:tc>
        <w:tc>
          <w:tcPr>
            <w:tcW w:w="1890" w:type="dxa"/>
            <w:tcBorders>
              <w:top w:val="single" w:sz="4" w:space="0" w:color="000000"/>
              <w:left w:val="single" w:sz="4" w:space="0" w:color="000000"/>
              <w:bottom w:val="single" w:sz="4" w:space="0" w:color="000000"/>
              <w:right w:val="single" w:sz="4" w:space="0" w:color="000000"/>
            </w:tcBorders>
          </w:tcPr>
          <w:p w14:paraId="2641E517"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20417344" wp14:editId="09EFB9CB">
                  <wp:extent cx="508000" cy="342900"/>
                  <wp:effectExtent l="0" t="0" r="0" b="0"/>
                  <wp:docPr id="103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8FE764D"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1990 State Laws</w:t>
            </w:r>
          </w:p>
        </w:tc>
      </w:tr>
      <w:tr w:rsidR="002B6FD6" w14:paraId="790081B8" w14:textId="77777777">
        <w:tc>
          <w:tcPr>
            <w:tcW w:w="900" w:type="dxa"/>
            <w:tcBorders>
              <w:top w:val="single" w:sz="4" w:space="0" w:color="000000"/>
              <w:left w:val="single" w:sz="4" w:space="0" w:color="000000"/>
              <w:bottom w:val="single" w:sz="4" w:space="0" w:color="000000"/>
              <w:right w:val="single" w:sz="4" w:space="0" w:color="000000"/>
            </w:tcBorders>
          </w:tcPr>
          <w:p w14:paraId="4912B531" w14:textId="77777777" w:rsidR="002B6FD6" w:rsidRDefault="00000000">
            <w:pPr>
              <w:jc w:val="center"/>
              <w:rPr>
                <w:rFonts w:ascii="Calibri" w:eastAsia="Calibri" w:hAnsi="Calibri" w:cs="Calibri"/>
                <w:b/>
              </w:rPr>
            </w:pPr>
            <w:r>
              <w:rPr>
                <w:rFonts w:ascii="Calibri" w:eastAsia="Calibri" w:hAnsi="Calibri" w:cs="Calibri"/>
                <w:b/>
              </w:rPr>
              <w:lastRenderedPageBreak/>
              <w:t>.5 min</w:t>
            </w:r>
          </w:p>
        </w:tc>
        <w:tc>
          <w:tcPr>
            <w:tcW w:w="6570" w:type="dxa"/>
            <w:tcBorders>
              <w:top w:val="single" w:sz="4" w:space="0" w:color="000000"/>
              <w:left w:val="single" w:sz="4" w:space="0" w:color="000000"/>
              <w:bottom w:val="single" w:sz="4" w:space="0" w:color="000000"/>
              <w:right w:val="single" w:sz="4" w:space="0" w:color="000000"/>
            </w:tcBorders>
          </w:tcPr>
          <w:p w14:paraId="6DBDEAEB"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color w:val="000000"/>
              </w:rPr>
              <w:t>2010 State Laws Prohibiting Staff Sexual Abuse</w:t>
            </w:r>
          </w:p>
          <w:p w14:paraId="29EA3C92" w14:textId="77777777" w:rsidR="002B6FD6" w:rsidRDefault="002B6FD6">
            <w:pPr>
              <w:widowControl w:val="0"/>
              <w:pBdr>
                <w:top w:val="nil"/>
                <w:left w:val="nil"/>
                <w:bottom w:val="nil"/>
                <w:right w:val="nil"/>
                <w:between w:val="nil"/>
              </w:pBdr>
              <w:spacing w:line="276" w:lineRule="auto"/>
              <w:jc w:val="center"/>
              <w:rPr>
                <w:rFonts w:ascii="Calibri" w:eastAsia="Calibri" w:hAnsi="Calibri" w:cs="Calibri"/>
                <w:b/>
                <w:i/>
                <w:color w:val="000000"/>
              </w:rPr>
            </w:pPr>
          </w:p>
          <w:p w14:paraId="1A2288FB"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i/>
                <w:color w:val="000000"/>
              </w:rPr>
            </w:pPr>
            <w:r>
              <w:rPr>
                <w:rFonts w:ascii="Calibri" w:eastAsia="Calibri" w:hAnsi="Calibri" w:cs="Calibri"/>
                <w:b/>
                <w:i/>
                <w:noProof/>
                <w:color w:val="000000"/>
              </w:rPr>
              <w:drawing>
                <wp:inline distT="0" distB="0" distL="0" distR="0" wp14:anchorId="4CB767AA" wp14:editId="3310CED2">
                  <wp:extent cx="2803706" cy="2103120"/>
                  <wp:effectExtent l="38100" t="38100" r="38100" b="3810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2803706" cy="2103120"/>
                          </a:xfrm>
                          <a:prstGeom prst="rect">
                            <a:avLst/>
                          </a:prstGeom>
                          <a:ln w="38100">
                            <a:solidFill>
                              <a:srgbClr val="000000"/>
                            </a:solidFill>
                            <a:prstDash val="solid"/>
                          </a:ln>
                        </pic:spPr>
                      </pic:pic>
                    </a:graphicData>
                  </a:graphic>
                </wp:inline>
              </w:drawing>
            </w:r>
          </w:p>
          <w:p w14:paraId="39EDB3CA"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It wasn’t until 2010 that all states had laws addressing the issue, including laws covering community corrections either implicitly or explicitly. </w:t>
            </w:r>
          </w:p>
        </w:tc>
        <w:tc>
          <w:tcPr>
            <w:tcW w:w="1890" w:type="dxa"/>
            <w:tcBorders>
              <w:top w:val="single" w:sz="4" w:space="0" w:color="000000"/>
              <w:left w:val="single" w:sz="4" w:space="0" w:color="000000"/>
              <w:bottom w:val="single" w:sz="4" w:space="0" w:color="000000"/>
              <w:right w:val="single" w:sz="4" w:space="0" w:color="000000"/>
            </w:tcBorders>
          </w:tcPr>
          <w:p w14:paraId="6F172578"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26DB1938" wp14:editId="3E634565">
                  <wp:extent cx="508000" cy="342900"/>
                  <wp:effectExtent l="0" t="0" r="0" b="0"/>
                  <wp:docPr id="103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6056BAC"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2010 State Laws</w:t>
            </w:r>
          </w:p>
        </w:tc>
      </w:tr>
      <w:tr w:rsidR="002B6FD6" w14:paraId="456CF955" w14:textId="77777777">
        <w:tc>
          <w:tcPr>
            <w:tcW w:w="900" w:type="dxa"/>
            <w:tcBorders>
              <w:top w:val="single" w:sz="4" w:space="0" w:color="000000"/>
              <w:left w:val="single" w:sz="4" w:space="0" w:color="000000"/>
              <w:bottom w:val="single" w:sz="4" w:space="0" w:color="000000"/>
              <w:right w:val="single" w:sz="4" w:space="0" w:color="000000"/>
            </w:tcBorders>
          </w:tcPr>
          <w:p w14:paraId="237D60B0" w14:textId="77777777" w:rsidR="002B6FD6" w:rsidRDefault="00000000">
            <w:pPr>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1BF308B2"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States that Cover Community Corrections 2010</w:t>
            </w:r>
          </w:p>
          <w:p w14:paraId="55A15673"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i/>
                <w:color w:val="000000"/>
              </w:rPr>
            </w:pPr>
            <w:r>
              <w:rPr>
                <w:rFonts w:ascii="Calibri" w:eastAsia="Calibri" w:hAnsi="Calibri" w:cs="Calibri"/>
                <w:b/>
                <w:i/>
                <w:noProof/>
                <w:color w:val="000000"/>
              </w:rPr>
              <w:drawing>
                <wp:inline distT="0" distB="0" distL="0" distR="0" wp14:anchorId="016A1B8C" wp14:editId="5EAF73E5">
                  <wp:extent cx="2800321" cy="2103120"/>
                  <wp:effectExtent l="38100" t="38100" r="38100" b="38100"/>
                  <wp:docPr id="10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2800321" cy="2103120"/>
                          </a:xfrm>
                          <a:prstGeom prst="rect">
                            <a:avLst/>
                          </a:prstGeom>
                          <a:ln w="38100">
                            <a:solidFill>
                              <a:srgbClr val="000000"/>
                            </a:solidFill>
                            <a:prstDash val="solid"/>
                          </a:ln>
                        </pic:spPr>
                      </pic:pic>
                    </a:graphicData>
                  </a:graphic>
                </wp:inline>
              </w:drawing>
            </w:r>
          </w:p>
          <w:p w14:paraId="297E660D"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These last two maps demonstrate how sexual abuse in correctional settings has become more acknowledged and addressed through legislation. </w:t>
            </w:r>
          </w:p>
          <w:p w14:paraId="3F5C5D22"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State laws address sexual abuse in community corrections …</w:t>
            </w:r>
          </w:p>
          <w:p w14:paraId="6BC78E96" w14:textId="77777777" w:rsidR="00597CC3" w:rsidRDefault="00597CC3">
            <w:pPr>
              <w:widowControl w:val="0"/>
              <w:spacing w:after="200" w:line="276" w:lineRule="auto"/>
              <w:rPr>
                <w:rFonts w:ascii="Calibri" w:eastAsia="Calibri" w:hAnsi="Calibri" w:cs="Calibri"/>
              </w:rPr>
            </w:pPr>
          </w:p>
          <w:p w14:paraId="711DC641" w14:textId="77777777" w:rsidR="00597CC3" w:rsidRDefault="00597CC3">
            <w:pPr>
              <w:widowControl w:val="0"/>
              <w:spacing w:after="200" w:line="276" w:lineRule="auto"/>
              <w:rPr>
                <w:rFonts w:ascii="Calibri" w:eastAsia="Calibri" w:hAnsi="Calibri" w:cs="Calibri"/>
              </w:rPr>
            </w:pPr>
          </w:p>
        </w:tc>
        <w:tc>
          <w:tcPr>
            <w:tcW w:w="1890" w:type="dxa"/>
            <w:tcBorders>
              <w:top w:val="single" w:sz="4" w:space="0" w:color="000000"/>
              <w:left w:val="single" w:sz="4" w:space="0" w:color="000000"/>
              <w:bottom w:val="single" w:sz="4" w:space="0" w:color="000000"/>
              <w:right w:val="single" w:sz="4" w:space="0" w:color="000000"/>
            </w:tcBorders>
          </w:tcPr>
          <w:p w14:paraId="1E4B9B09"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0BFDEE37" wp14:editId="27A860A4">
                  <wp:extent cx="508000" cy="342900"/>
                  <wp:effectExtent l="0" t="0" r="0" b="0"/>
                  <wp:docPr id="103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5875FA4"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States that Cover Community Corrections</w:t>
            </w:r>
          </w:p>
        </w:tc>
      </w:tr>
      <w:tr w:rsidR="002B6FD6" w14:paraId="698126C0" w14:textId="77777777">
        <w:tc>
          <w:tcPr>
            <w:tcW w:w="900" w:type="dxa"/>
            <w:tcBorders>
              <w:top w:val="single" w:sz="4" w:space="0" w:color="000000"/>
              <w:left w:val="single" w:sz="4" w:space="0" w:color="000000"/>
              <w:bottom w:val="single" w:sz="4" w:space="0" w:color="000000"/>
              <w:right w:val="single" w:sz="4" w:space="0" w:color="000000"/>
            </w:tcBorders>
          </w:tcPr>
          <w:p w14:paraId="00A61B28" w14:textId="77777777" w:rsidR="002B6FD6" w:rsidRDefault="00000000">
            <w:pPr>
              <w:jc w:val="center"/>
              <w:rPr>
                <w:rFonts w:ascii="Calibri" w:eastAsia="Calibri" w:hAnsi="Calibri" w:cs="Calibri"/>
                <w:b/>
              </w:rPr>
            </w:pPr>
            <w:r>
              <w:rPr>
                <w:rFonts w:ascii="Calibri" w:eastAsia="Calibri" w:hAnsi="Calibri" w:cs="Calibri"/>
                <w:b/>
              </w:rPr>
              <w:lastRenderedPageBreak/>
              <w:t>.5 min</w:t>
            </w:r>
          </w:p>
        </w:tc>
        <w:tc>
          <w:tcPr>
            <w:tcW w:w="6570" w:type="dxa"/>
            <w:tcBorders>
              <w:top w:val="single" w:sz="4" w:space="0" w:color="000000"/>
              <w:left w:val="single" w:sz="4" w:space="0" w:color="000000"/>
              <w:bottom w:val="single" w:sz="4" w:space="0" w:color="000000"/>
              <w:right w:val="single" w:sz="4" w:space="0" w:color="000000"/>
            </w:tcBorders>
          </w:tcPr>
          <w:p w14:paraId="7F6C88DF"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States that Cover Juvenile Justice Agencies</w:t>
            </w:r>
          </w:p>
          <w:p w14:paraId="01CBCDD3"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i/>
                <w:noProof/>
                <w:color w:val="000000"/>
              </w:rPr>
              <w:drawing>
                <wp:inline distT="0" distB="0" distL="0" distR="0" wp14:anchorId="019030F3" wp14:editId="13B284B1">
                  <wp:extent cx="2800321" cy="2103120"/>
                  <wp:effectExtent l="38100" t="38100" r="38100" b="38100"/>
                  <wp:docPr id="10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2800321" cy="2103120"/>
                          </a:xfrm>
                          <a:prstGeom prst="rect">
                            <a:avLst/>
                          </a:prstGeom>
                          <a:ln w="38100">
                            <a:solidFill>
                              <a:srgbClr val="000000"/>
                            </a:solidFill>
                            <a:prstDash val="solid"/>
                          </a:ln>
                        </pic:spPr>
                      </pic:pic>
                    </a:graphicData>
                  </a:graphic>
                </wp:inline>
              </w:drawing>
            </w:r>
          </w:p>
          <w:p w14:paraId="02A3CB95" w14:textId="77777777" w:rsidR="002B6FD6" w:rsidRDefault="00000000">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…and juvenile justice agencies. </w:t>
            </w:r>
          </w:p>
        </w:tc>
        <w:tc>
          <w:tcPr>
            <w:tcW w:w="1890" w:type="dxa"/>
            <w:tcBorders>
              <w:top w:val="single" w:sz="4" w:space="0" w:color="000000"/>
              <w:left w:val="single" w:sz="4" w:space="0" w:color="000000"/>
              <w:bottom w:val="single" w:sz="4" w:space="0" w:color="000000"/>
              <w:right w:val="single" w:sz="4" w:space="0" w:color="000000"/>
            </w:tcBorders>
          </w:tcPr>
          <w:p w14:paraId="60C5C1E3"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299266F" wp14:editId="08645525">
                  <wp:extent cx="508000" cy="342900"/>
                  <wp:effectExtent l="0" t="0" r="0" b="0"/>
                  <wp:docPr id="1040"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1DABF921"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States that Cover Juvenile Justice</w:t>
            </w:r>
          </w:p>
        </w:tc>
      </w:tr>
      <w:tr w:rsidR="002B6FD6" w14:paraId="6EB5B5D4" w14:textId="77777777">
        <w:tc>
          <w:tcPr>
            <w:tcW w:w="900" w:type="dxa"/>
            <w:tcBorders>
              <w:top w:val="single" w:sz="4" w:space="0" w:color="000000"/>
              <w:left w:val="single" w:sz="4" w:space="0" w:color="000000"/>
              <w:bottom w:val="single" w:sz="4" w:space="0" w:color="000000"/>
              <w:right w:val="single" w:sz="4" w:space="0" w:color="000000"/>
            </w:tcBorders>
          </w:tcPr>
          <w:p w14:paraId="1AB883B2" w14:textId="77777777" w:rsidR="002B6FD6" w:rsidRDefault="00000000">
            <w:pPr>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33A10561" w14:textId="77777777" w:rsidR="002B6FD6" w:rsidRDefault="002B6FD6">
            <w:pPr>
              <w:widowControl w:val="0"/>
              <w:pBdr>
                <w:top w:val="nil"/>
                <w:left w:val="nil"/>
                <w:bottom w:val="nil"/>
                <w:right w:val="nil"/>
                <w:between w:val="nil"/>
              </w:pBdr>
              <w:spacing w:after="200" w:line="276" w:lineRule="auto"/>
              <w:rPr>
                <w:rFonts w:ascii="Calibri" w:eastAsia="Calibri" w:hAnsi="Calibri" w:cs="Calibri"/>
                <w:color w:val="FF0000"/>
              </w:rPr>
            </w:pPr>
          </w:p>
        </w:tc>
        <w:tc>
          <w:tcPr>
            <w:tcW w:w="1890" w:type="dxa"/>
            <w:tcBorders>
              <w:top w:val="single" w:sz="4" w:space="0" w:color="000000"/>
              <w:left w:val="single" w:sz="4" w:space="0" w:color="000000"/>
              <w:bottom w:val="single" w:sz="4" w:space="0" w:color="000000"/>
              <w:right w:val="single" w:sz="4" w:space="0" w:color="000000"/>
            </w:tcBorders>
          </w:tcPr>
          <w:p w14:paraId="4358192E"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0C231BF3" wp14:editId="39F3F2E6">
                  <wp:extent cx="508000" cy="342900"/>
                  <wp:effectExtent l="0" t="0" r="0" b="0"/>
                  <wp:docPr id="1041"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25CAC35E"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color w:val="FF0000"/>
                <w:sz w:val="20"/>
                <w:szCs w:val="20"/>
              </w:rPr>
              <w:t xml:space="preserve">Insert slide with the laws of the state in which your agency/facility is located. </w:t>
            </w:r>
          </w:p>
        </w:tc>
      </w:tr>
      <w:tr w:rsidR="002B6FD6" w14:paraId="727EE230" w14:textId="77777777">
        <w:tc>
          <w:tcPr>
            <w:tcW w:w="900" w:type="dxa"/>
            <w:tcBorders>
              <w:top w:val="single" w:sz="4" w:space="0" w:color="000000"/>
              <w:left w:val="single" w:sz="4" w:space="0" w:color="000000"/>
              <w:bottom w:val="single" w:sz="4" w:space="0" w:color="000000"/>
              <w:right w:val="single" w:sz="4" w:space="0" w:color="000000"/>
            </w:tcBorders>
          </w:tcPr>
          <w:p w14:paraId="4C0D6732" w14:textId="77777777" w:rsidR="002B6FD6" w:rsidRDefault="00000000">
            <w:pPr>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393CD9A2"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Other State Criminal Laws</w:t>
            </w:r>
          </w:p>
          <w:p w14:paraId="6E75E7FA" w14:textId="77777777" w:rsidR="002B6FD6" w:rsidRDefault="00000000">
            <w:pPr>
              <w:widowControl w:val="0"/>
              <w:pBdr>
                <w:top w:val="nil"/>
                <w:left w:val="nil"/>
                <w:bottom w:val="nil"/>
                <w:right w:val="nil"/>
                <w:between w:val="nil"/>
              </w:pBdr>
              <w:spacing w:after="200" w:line="276" w:lineRule="auto"/>
              <w:ind w:left="360"/>
              <w:jc w:val="center"/>
              <w:rPr>
                <w:rFonts w:ascii="Calibri" w:eastAsia="Calibri" w:hAnsi="Calibri" w:cs="Calibri"/>
                <w:i/>
                <w:color w:val="000000"/>
              </w:rPr>
            </w:pPr>
            <w:r>
              <w:rPr>
                <w:rFonts w:ascii="Calibri" w:eastAsia="Calibri" w:hAnsi="Calibri" w:cs="Calibri"/>
                <w:i/>
                <w:noProof/>
                <w:color w:val="000000"/>
              </w:rPr>
              <w:drawing>
                <wp:inline distT="0" distB="0" distL="0" distR="0" wp14:anchorId="5EBA2F2E" wp14:editId="1CF99909">
                  <wp:extent cx="2804160" cy="2103120"/>
                  <wp:effectExtent l="38100" t="38100" r="34290" b="30480"/>
                  <wp:docPr id="10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grayscl/>
                          </a:blip>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3C5150A4"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Here is a list of some of the laws that investigators and prosecutors may use in a case. </w:t>
            </w:r>
          </w:p>
          <w:p w14:paraId="168F6FEF"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Some staff members who have been involved sexually with an inmate may think that termination is a possible consequence of their actions. They may be surprised to learn that they could also be sentenced to time in prison and/or </w:t>
            </w:r>
            <w:proofErr w:type="gramStart"/>
            <w:r>
              <w:rPr>
                <w:rFonts w:ascii="Calibri" w:eastAsia="Calibri" w:hAnsi="Calibri" w:cs="Calibri"/>
              </w:rPr>
              <w:t>have to</w:t>
            </w:r>
            <w:proofErr w:type="gramEnd"/>
            <w:r>
              <w:rPr>
                <w:rFonts w:ascii="Calibri" w:eastAsia="Calibri" w:hAnsi="Calibri" w:cs="Calibri"/>
              </w:rPr>
              <w:t xml:space="preserve"> register as a sex offender for the rest of their lives.</w:t>
            </w:r>
          </w:p>
        </w:tc>
        <w:tc>
          <w:tcPr>
            <w:tcW w:w="1890" w:type="dxa"/>
            <w:tcBorders>
              <w:top w:val="single" w:sz="4" w:space="0" w:color="000000"/>
              <w:left w:val="single" w:sz="4" w:space="0" w:color="000000"/>
              <w:bottom w:val="single" w:sz="4" w:space="0" w:color="000000"/>
              <w:right w:val="single" w:sz="4" w:space="0" w:color="000000"/>
            </w:tcBorders>
          </w:tcPr>
          <w:p w14:paraId="17C5DAD3"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66C53FF" wp14:editId="44DF3B86">
                  <wp:extent cx="508000" cy="342900"/>
                  <wp:effectExtent l="0" t="0" r="0" b="0"/>
                  <wp:docPr id="1043"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1C689092"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Other State Criminal Laws</w:t>
            </w:r>
          </w:p>
        </w:tc>
      </w:tr>
      <w:tr w:rsidR="002B6FD6" w14:paraId="7A5FA432" w14:textId="77777777">
        <w:tc>
          <w:tcPr>
            <w:tcW w:w="900" w:type="dxa"/>
            <w:tcBorders>
              <w:top w:val="single" w:sz="4" w:space="0" w:color="000000"/>
              <w:left w:val="single" w:sz="4" w:space="0" w:color="000000"/>
              <w:bottom w:val="single" w:sz="4" w:space="0" w:color="000000"/>
              <w:right w:val="single" w:sz="4" w:space="0" w:color="000000"/>
            </w:tcBorders>
          </w:tcPr>
          <w:p w14:paraId="08B851A3" w14:textId="77777777" w:rsidR="002B6FD6" w:rsidRDefault="00000000">
            <w:pPr>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222099FB"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State Tort Law Claims</w:t>
            </w:r>
          </w:p>
          <w:p w14:paraId="57BFFBC3"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2FB4E02" wp14:editId="3DEC83C2">
                  <wp:extent cx="2804160" cy="2103120"/>
                  <wp:effectExtent l="38100" t="38100" r="38100" b="38100"/>
                  <wp:docPr id="106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B2A4FE9"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What is tort? </w:t>
            </w:r>
          </w:p>
          <w:p w14:paraId="2148A950" w14:textId="77777777" w:rsidR="002B6FD6" w:rsidRDefault="00000000">
            <w:pPr>
              <w:widowControl w:val="0"/>
              <w:numPr>
                <w:ilvl w:val="0"/>
                <w:numId w:val="39"/>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Tort is a civil claim for money. It is usually a claim additional to the criminal charge, </w:t>
            </w:r>
            <w:proofErr w:type="gramStart"/>
            <w:r>
              <w:rPr>
                <w:rFonts w:ascii="Calibri" w:eastAsia="Calibri" w:hAnsi="Calibri" w:cs="Calibri"/>
                <w:color w:val="000000"/>
              </w:rPr>
              <w:t>and  an</w:t>
            </w:r>
            <w:proofErr w:type="gramEnd"/>
            <w:r>
              <w:rPr>
                <w:rFonts w:ascii="Calibri" w:eastAsia="Calibri" w:hAnsi="Calibri" w:cs="Calibri"/>
                <w:color w:val="000000"/>
              </w:rPr>
              <w:t xml:space="preserve"> additional liability to the agency and the individual. </w:t>
            </w:r>
          </w:p>
        </w:tc>
        <w:tc>
          <w:tcPr>
            <w:tcW w:w="1890" w:type="dxa"/>
            <w:tcBorders>
              <w:top w:val="single" w:sz="4" w:space="0" w:color="000000"/>
              <w:left w:val="single" w:sz="4" w:space="0" w:color="000000"/>
              <w:bottom w:val="single" w:sz="4" w:space="0" w:color="000000"/>
              <w:right w:val="single" w:sz="4" w:space="0" w:color="000000"/>
            </w:tcBorders>
          </w:tcPr>
          <w:p w14:paraId="7B942BB7"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35878BEF" wp14:editId="2C101D3A">
                  <wp:extent cx="508000" cy="342900"/>
                  <wp:effectExtent l="0" t="0" r="0" b="0"/>
                  <wp:docPr id="106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7E5DFA85"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State Tort Law Claims</w:t>
            </w:r>
          </w:p>
          <w:p w14:paraId="7660C802" w14:textId="77777777" w:rsidR="002B6FD6" w:rsidRDefault="002B6FD6">
            <w:pPr>
              <w:tabs>
                <w:tab w:val="left" w:pos="420"/>
                <w:tab w:val="center" w:pos="1062"/>
                <w:tab w:val="left" w:pos="7290"/>
              </w:tabs>
              <w:rPr>
                <w:rFonts w:ascii="Calibri" w:eastAsia="Calibri" w:hAnsi="Calibri" w:cs="Calibri"/>
                <w:sz w:val="20"/>
                <w:szCs w:val="20"/>
              </w:rPr>
            </w:pPr>
          </w:p>
          <w:p w14:paraId="79E5F321" w14:textId="77777777" w:rsidR="002B6FD6" w:rsidRDefault="002B6FD6">
            <w:pPr>
              <w:tabs>
                <w:tab w:val="left" w:pos="420"/>
                <w:tab w:val="center" w:pos="1062"/>
                <w:tab w:val="left" w:pos="7290"/>
              </w:tabs>
              <w:rPr>
                <w:rFonts w:ascii="Calibri" w:eastAsia="Calibri" w:hAnsi="Calibri" w:cs="Calibri"/>
                <w:sz w:val="20"/>
                <w:szCs w:val="20"/>
              </w:rPr>
            </w:pPr>
          </w:p>
          <w:p w14:paraId="05AD2351" w14:textId="77777777" w:rsidR="002B6FD6" w:rsidRDefault="002B6FD6">
            <w:pPr>
              <w:tabs>
                <w:tab w:val="left" w:pos="420"/>
                <w:tab w:val="center" w:pos="1062"/>
                <w:tab w:val="left" w:pos="7290"/>
              </w:tabs>
              <w:rPr>
                <w:rFonts w:ascii="Calibri" w:eastAsia="Calibri" w:hAnsi="Calibri" w:cs="Calibri"/>
                <w:sz w:val="20"/>
                <w:szCs w:val="20"/>
              </w:rPr>
            </w:pPr>
          </w:p>
          <w:p w14:paraId="5E30844F" w14:textId="77777777" w:rsidR="002B6FD6" w:rsidRDefault="002B6FD6">
            <w:pPr>
              <w:tabs>
                <w:tab w:val="left" w:pos="420"/>
                <w:tab w:val="center" w:pos="1062"/>
                <w:tab w:val="left" w:pos="7290"/>
              </w:tabs>
              <w:rPr>
                <w:rFonts w:ascii="Calibri" w:eastAsia="Calibri" w:hAnsi="Calibri" w:cs="Calibri"/>
                <w:sz w:val="20"/>
                <w:szCs w:val="20"/>
              </w:rPr>
            </w:pPr>
          </w:p>
          <w:p w14:paraId="0650B926" w14:textId="77777777" w:rsidR="002B6FD6" w:rsidRDefault="002B6FD6">
            <w:pPr>
              <w:tabs>
                <w:tab w:val="left" w:pos="420"/>
                <w:tab w:val="center" w:pos="1062"/>
                <w:tab w:val="left" w:pos="7290"/>
              </w:tabs>
              <w:rPr>
                <w:rFonts w:ascii="Calibri" w:eastAsia="Calibri" w:hAnsi="Calibri" w:cs="Calibri"/>
                <w:sz w:val="20"/>
                <w:szCs w:val="20"/>
              </w:rPr>
            </w:pPr>
          </w:p>
          <w:p w14:paraId="61DB903D" w14:textId="77777777" w:rsidR="002B6FD6" w:rsidRDefault="002B6FD6">
            <w:pPr>
              <w:tabs>
                <w:tab w:val="left" w:pos="420"/>
                <w:tab w:val="center" w:pos="1062"/>
                <w:tab w:val="left" w:pos="7290"/>
              </w:tabs>
              <w:rPr>
                <w:rFonts w:ascii="Calibri" w:eastAsia="Calibri" w:hAnsi="Calibri" w:cs="Calibri"/>
                <w:sz w:val="20"/>
                <w:szCs w:val="20"/>
              </w:rPr>
            </w:pPr>
          </w:p>
          <w:p w14:paraId="3F395F28" w14:textId="77777777" w:rsidR="002B6FD6" w:rsidRDefault="002B6FD6">
            <w:pPr>
              <w:tabs>
                <w:tab w:val="left" w:pos="420"/>
                <w:tab w:val="center" w:pos="1062"/>
                <w:tab w:val="left" w:pos="7290"/>
              </w:tabs>
              <w:rPr>
                <w:rFonts w:ascii="Calibri" w:eastAsia="Calibri" w:hAnsi="Calibri" w:cs="Calibri"/>
                <w:sz w:val="20"/>
                <w:szCs w:val="20"/>
              </w:rPr>
            </w:pPr>
          </w:p>
          <w:p w14:paraId="17046A0F" w14:textId="77777777" w:rsidR="002B6FD6" w:rsidRDefault="002B6FD6">
            <w:pPr>
              <w:tabs>
                <w:tab w:val="left" w:pos="420"/>
                <w:tab w:val="center" w:pos="1062"/>
                <w:tab w:val="left" w:pos="7290"/>
              </w:tabs>
              <w:rPr>
                <w:rFonts w:ascii="Calibri" w:eastAsia="Calibri" w:hAnsi="Calibri" w:cs="Calibri"/>
                <w:sz w:val="20"/>
                <w:szCs w:val="20"/>
              </w:rPr>
            </w:pPr>
          </w:p>
          <w:p w14:paraId="1F6583D7" w14:textId="77777777" w:rsidR="002B6FD6" w:rsidRDefault="002B6FD6">
            <w:pPr>
              <w:tabs>
                <w:tab w:val="left" w:pos="420"/>
                <w:tab w:val="center" w:pos="1062"/>
                <w:tab w:val="left" w:pos="7290"/>
              </w:tabs>
              <w:rPr>
                <w:rFonts w:ascii="Calibri" w:eastAsia="Calibri" w:hAnsi="Calibri" w:cs="Calibri"/>
                <w:sz w:val="20"/>
                <w:szCs w:val="20"/>
              </w:rPr>
            </w:pPr>
          </w:p>
          <w:p w14:paraId="147F8009"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Ask the class to define tort and wait for an answer before moving on.</w:t>
            </w:r>
          </w:p>
        </w:tc>
      </w:tr>
      <w:tr w:rsidR="002B6FD6" w14:paraId="6F9923A9" w14:textId="77777777">
        <w:tc>
          <w:tcPr>
            <w:tcW w:w="900" w:type="dxa"/>
            <w:tcBorders>
              <w:top w:val="single" w:sz="4" w:space="0" w:color="000000"/>
              <w:left w:val="single" w:sz="4" w:space="0" w:color="000000"/>
              <w:bottom w:val="single" w:sz="4" w:space="0" w:color="000000"/>
              <w:right w:val="single" w:sz="4" w:space="0" w:color="000000"/>
            </w:tcBorders>
          </w:tcPr>
          <w:p w14:paraId="422B0494" w14:textId="77777777" w:rsidR="002B6FD6" w:rsidRDefault="00000000">
            <w:pPr>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75B89B2"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Litigation</w:t>
            </w:r>
          </w:p>
          <w:p w14:paraId="5DBE22AA" w14:textId="77777777" w:rsidR="002B6FD6" w:rsidRDefault="00000000">
            <w:pPr>
              <w:widowControl w:val="0"/>
              <w:spacing w:after="200" w:line="276" w:lineRule="auto"/>
              <w:jc w:val="center"/>
              <w:rPr>
                <w:rFonts w:ascii="Calibri" w:eastAsia="Calibri" w:hAnsi="Calibri" w:cs="Calibri"/>
              </w:rPr>
            </w:pPr>
            <w:r>
              <w:rPr>
                <w:rFonts w:ascii="Calibri" w:eastAsia="Calibri" w:hAnsi="Calibri" w:cs="Calibri"/>
                <w:noProof/>
              </w:rPr>
              <w:drawing>
                <wp:inline distT="0" distB="0" distL="0" distR="0" wp14:anchorId="013E05E7" wp14:editId="43751B80">
                  <wp:extent cx="2804160" cy="2103120"/>
                  <wp:effectExtent l="38100" t="38100" r="38100" b="38100"/>
                  <wp:docPr id="10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244CC04"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As an investigator, you have access to information about your agency that other people do not. Be aware of how that information can guide the development and revision of policy and practice. </w:t>
            </w:r>
          </w:p>
          <w:p w14:paraId="0453A3C0"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Do not be afraid to speak up when you see policies or practices that need to be developed or modified that could help minimize your agency’s exposure and liability.</w:t>
            </w:r>
          </w:p>
        </w:tc>
        <w:tc>
          <w:tcPr>
            <w:tcW w:w="1890" w:type="dxa"/>
            <w:tcBorders>
              <w:top w:val="single" w:sz="4" w:space="0" w:color="000000"/>
              <w:left w:val="single" w:sz="4" w:space="0" w:color="000000"/>
              <w:bottom w:val="single" w:sz="4" w:space="0" w:color="000000"/>
              <w:right w:val="single" w:sz="4" w:space="0" w:color="000000"/>
            </w:tcBorders>
          </w:tcPr>
          <w:p w14:paraId="17BDBE9D"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7EACDA42" wp14:editId="483E1CB3">
                  <wp:extent cx="508000" cy="342900"/>
                  <wp:effectExtent l="0" t="0" r="0" b="0"/>
                  <wp:docPr id="106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54659E9"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Litigation</w:t>
            </w:r>
          </w:p>
          <w:p w14:paraId="56F4276B"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7DFD62C0" w14:textId="77777777">
        <w:tc>
          <w:tcPr>
            <w:tcW w:w="900" w:type="dxa"/>
            <w:tcBorders>
              <w:top w:val="single" w:sz="4" w:space="0" w:color="000000"/>
              <w:left w:val="single" w:sz="4" w:space="0" w:color="000000"/>
              <w:bottom w:val="single" w:sz="4" w:space="0" w:color="000000"/>
              <w:right w:val="single" w:sz="4" w:space="0" w:color="000000"/>
            </w:tcBorders>
          </w:tcPr>
          <w:p w14:paraId="60FA0AE5" w14:textId="77777777" w:rsidR="002B6FD6" w:rsidRDefault="00000000">
            <w:pPr>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7380E0CF"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PREA and Legal Issues</w:t>
            </w:r>
          </w:p>
          <w:p w14:paraId="323D5B70"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1DFC949" wp14:editId="5139A938">
                  <wp:extent cx="2909316" cy="2103120"/>
                  <wp:effectExtent l="38100" t="38100" r="38100" b="38100"/>
                  <wp:docPr id="10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2909316" cy="2103120"/>
                          </a:xfrm>
                          <a:prstGeom prst="rect">
                            <a:avLst/>
                          </a:prstGeom>
                          <a:ln w="38100">
                            <a:solidFill>
                              <a:srgbClr val="000000"/>
                            </a:solidFill>
                            <a:prstDash val="solid"/>
                          </a:ln>
                        </pic:spPr>
                      </pic:pic>
                    </a:graphicData>
                  </a:graphic>
                </wp:inline>
              </w:drawing>
            </w:r>
          </w:p>
          <w:p w14:paraId="76E9A370"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Is there such a thing as a PREA lawsuit? No. PREA does not create a new cause of action. </w:t>
            </w:r>
          </w:p>
          <w:p w14:paraId="7C2FF206"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However, this doesn’t mean you cannot file a lawsuit based on another cause of action and allege that the agency/facility is not compliant with PREA. For example, PREA was used as additional support in this case for damages and liability.</w:t>
            </w:r>
          </w:p>
          <w:p w14:paraId="5664D793" w14:textId="77777777" w:rsidR="002B6FD6" w:rsidRDefault="00000000">
            <w:pPr>
              <w:widowControl w:val="0"/>
              <w:spacing w:line="276" w:lineRule="auto"/>
              <w:rPr>
                <w:rFonts w:ascii="Calibri" w:eastAsia="Calibri" w:hAnsi="Calibri" w:cs="Calibri"/>
              </w:rPr>
            </w:pPr>
            <w:r>
              <w:rPr>
                <w:rFonts w:ascii="Calibri" w:eastAsia="Calibri" w:hAnsi="Calibri" w:cs="Calibri"/>
              </w:rPr>
              <w:t xml:space="preserve">The most common bases for legal challenges are: </w:t>
            </w:r>
          </w:p>
          <w:p w14:paraId="75AF04EE" w14:textId="77777777" w:rsidR="002B6FD6" w:rsidRDefault="00000000">
            <w:pPr>
              <w:numPr>
                <w:ilvl w:val="1"/>
                <w:numId w:val="26"/>
              </w:numPr>
              <w:spacing w:line="276" w:lineRule="auto"/>
              <w:ind w:left="882"/>
              <w:rPr>
                <w:rFonts w:ascii="Calibri" w:eastAsia="Calibri" w:hAnsi="Calibri" w:cs="Calibri"/>
              </w:rPr>
            </w:pPr>
            <w:r>
              <w:rPr>
                <w:rFonts w:ascii="Calibri" w:eastAsia="Calibri" w:hAnsi="Calibri" w:cs="Calibri"/>
              </w:rPr>
              <w:t>42 U.S. C. 1983</w:t>
            </w:r>
          </w:p>
          <w:p w14:paraId="565D1931" w14:textId="77777777" w:rsidR="002B6FD6" w:rsidRDefault="00000000">
            <w:pPr>
              <w:numPr>
                <w:ilvl w:val="1"/>
                <w:numId w:val="26"/>
              </w:numPr>
              <w:spacing w:line="276" w:lineRule="auto"/>
              <w:ind w:left="882"/>
              <w:rPr>
                <w:rFonts w:ascii="Calibri" w:eastAsia="Calibri" w:hAnsi="Calibri" w:cs="Calibri"/>
              </w:rPr>
            </w:pPr>
            <w:r>
              <w:rPr>
                <w:rFonts w:ascii="Calibri" w:eastAsia="Calibri" w:hAnsi="Calibri" w:cs="Calibri"/>
              </w:rPr>
              <w:t>Eighth Amendment</w:t>
            </w:r>
          </w:p>
          <w:p w14:paraId="4C9C5B05" w14:textId="77777777" w:rsidR="002B6FD6" w:rsidRDefault="00000000">
            <w:pPr>
              <w:numPr>
                <w:ilvl w:val="1"/>
                <w:numId w:val="26"/>
              </w:numPr>
              <w:spacing w:line="276" w:lineRule="auto"/>
              <w:ind w:left="882"/>
              <w:rPr>
                <w:rFonts w:ascii="Calibri" w:eastAsia="Calibri" w:hAnsi="Calibri" w:cs="Calibri"/>
              </w:rPr>
            </w:pPr>
            <w:r>
              <w:rPr>
                <w:rFonts w:ascii="Calibri" w:eastAsia="Calibri" w:hAnsi="Calibri" w:cs="Calibri"/>
              </w:rPr>
              <w:t>Fourth Amendment</w:t>
            </w:r>
          </w:p>
          <w:p w14:paraId="255CB013" w14:textId="77777777" w:rsidR="002B6FD6" w:rsidRDefault="00000000">
            <w:pPr>
              <w:numPr>
                <w:ilvl w:val="1"/>
                <w:numId w:val="26"/>
              </w:numPr>
              <w:spacing w:line="276" w:lineRule="auto"/>
              <w:ind w:left="882"/>
              <w:rPr>
                <w:rFonts w:ascii="Calibri" w:eastAsia="Calibri" w:hAnsi="Calibri" w:cs="Calibri"/>
              </w:rPr>
            </w:pPr>
            <w:r>
              <w:rPr>
                <w:rFonts w:ascii="Calibri" w:eastAsia="Calibri" w:hAnsi="Calibri" w:cs="Calibri"/>
              </w:rPr>
              <w:t>Fourteenth Amendment</w:t>
            </w:r>
          </w:p>
          <w:p w14:paraId="6FDB99E6" w14:textId="77777777" w:rsidR="002B6FD6" w:rsidRDefault="00000000">
            <w:pPr>
              <w:numPr>
                <w:ilvl w:val="1"/>
                <w:numId w:val="26"/>
              </w:numPr>
              <w:spacing w:line="276" w:lineRule="auto"/>
              <w:ind w:left="882"/>
              <w:rPr>
                <w:rFonts w:ascii="Calibri" w:eastAsia="Calibri" w:hAnsi="Calibri" w:cs="Calibri"/>
              </w:rPr>
            </w:pPr>
            <w:r>
              <w:rPr>
                <w:rFonts w:ascii="Calibri" w:eastAsia="Calibri" w:hAnsi="Calibri" w:cs="Calibri"/>
              </w:rPr>
              <w:t>State tort claims</w:t>
            </w:r>
          </w:p>
          <w:p w14:paraId="56ABF3F4" w14:textId="77777777" w:rsidR="002B6FD6" w:rsidRDefault="00000000">
            <w:pPr>
              <w:spacing w:line="276" w:lineRule="auto"/>
              <w:rPr>
                <w:rFonts w:ascii="Calibri" w:eastAsia="Calibri" w:hAnsi="Calibri" w:cs="Calibri"/>
              </w:rPr>
            </w:pPr>
            <w:r>
              <w:rPr>
                <w:rFonts w:ascii="Calibri" w:eastAsia="Calibri" w:hAnsi="Calibri" w:cs="Calibri"/>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1DBACAF5"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2C1DAFEC" wp14:editId="09F2BDC4">
                  <wp:extent cx="508000" cy="342900"/>
                  <wp:effectExtent l="0" t="0" r="0" b="0"/>
                  <wp:docPr id="1070"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2208E163"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PREA and Legal Issues</w:t>
            </w:r>
          </w:p>
          <w:p w14:paraId="49BB5846" w14:textId="77777777" w:rsidR="002B6FD6" w:rsidRDefault="002B6FD6">
            <w:pPr>
              <w:tabs>
                <w:tab w:val="left" w:pos="420"/>
                <w:tab w:val="center" w:pos="1062"/>
                <w:tab w:val="left" w:pos="7290"/>
              </w:tabs>
              <w:rPr>
                <w:rFonts w:ascii="Calibri" w:eastAsia="Calibri" w:hAnsi="Calibri" w:cs="Calibri"/>
                <w:sz w:val="20"/>
                <w:szCs w:val="20"/>
              </w:rPr>
            </w:pPr>
          </w:p>
          <w:p w14:paraId="33364FF2" w14:textId="77777777" w:rsidR="002B6FD6" w:rsidRDefault="002B6FD6">
            <w:pPr>
              <w:tabs>
                <w:tab w:val="left" w:pos="420"/>
                <w:tab w:val="center" w:pos="1062"/>
                <w:tab w:val="left" w:pos="7290"/>
              </w:tabs>
              <w:rPr>
                <w:rFonts w:ascii="Calibri" w:eastAsia="Calibri" w:hAnsi="Calibri" w:cs="Calibri"/>
                <w:sz w:val="20"/>
                <w:szCs w:val="20"/>
              </w:rPr>
            </w:pPr>
          </w:p>
          <w:p w14:paraId="45A5BA93" w14:textId="77777777" w:rsidR="002B6FD6" w:rsidRDefault="002B6FD6">
            <w:pPr>
              <w:tabs>
                <w:tab w:val="left" w:pos="420"/>
                <w:tab w:val="center" w:pos="1062"/>
                <w:tab w:val="left" w:pos="7290"/>
              </w:tabs>
              <w:rPr>
                <w:rFonts w:ascii="Calibri" w:eastAsia="Calibri" w:hAnsi="Calibri" w:cs="Calibri"/>
                <w:sz w:val="20"/>
                <w:szCs w:val="20"/>
              </w:rPr>
            </w:pPr>
          </w:p>
          <w:p w14:paraId="01F37412" w14:textId="77777777" w:rsidR="002B6FD6" w:rsidRDefault="002B6FD6">
            <w:pPr>
              <w:tabs>
                <w:tab w:val="left" w:pos="420"/>
                <w:tab w:val="center" w:pos="1062"/>
                <w:tab w:val="left" w:pos="7290"/>
              </w:tabs>
              <w:rPr>
                <w:rFonts w:ascii="Calibri" w:eastAsia="Calibri" w:hAnsi="Calibri" w:cs="Calibri"/>
                <w:sz w:val="20"/>
                <w:szCs w:val="20"/>
              </w:rPr>
            </w:pPr>
          </w:p>
          <w:p w14:paraId="73B881C5" w14:textId="77777777" w:rsidR="002B6FD6" w:rsidRDefault="002B6FD6">
            <w:pPr>
              <w:tabs>
                <w:tab w:val="left" w:pos="420"/>
                <w:tab w:val="center" w:pos="1062"/>
                <w:tab w:val="left" w:pos="7290"/>
              </w:tabs>
              <w:rPr>
                <w:rFonts w:ascii="Calibri" w:eastAsia="Calibri" w:hAnsi="Calibri" w:cs="Calibri"/>
                <w:sz w:val="20"/>
                <w:szCs w:val="20"/>
              </w:rPr>
            </w:pPr>
          </w:p>
          <w:p w14:paraId="08575B5B" w14:textId="77777777" w:rsidR="002B6FD6" w:rsidRDefault="002B6FD6">
            <w:pPr>
              <w:tabs>
                <w:tab w:val="left" w:pos="420"/>
                <w:tab w:val="center" w:pos="1062"/>
                <w:tab w:val="left" w:pos="7290"/>
              </w:tabs>
              <w:rPr>
                <w:rFonts w:ascii="Calibri" w:eastAsia="Calibri" w:hAnsi="Calibri" w:cs="Calibri"/>
                <w:sz w:val="20"/>
                <w:szCs w:val="20"/>
              </w:rPr>
            </w:pPr>
          </w:p>
          <w:p w14:paraId="1A58751F" w14:textId="77777777" w:rsidR="002B6FD6" w:rsidRDefault="002B6FD6">
            <w:pPr>
              <w:tabs>
                <w:tab w:val="left" w:pos="420"/>
                <w:tab w:val="center" w:pos="1062"/>
                <w:tab w:val="left" w:pos="7290"/>
              </w:tabs>
              <w:rPr>
                <w:rFonts w:ascii="Calibri" w:eastAsia="Calibri" w:hAnsi="Calibri" w:cs="Calibri"/>
                <w:sz w:val="20"/>
                <w:szCs w:val="20"/>
              </w:rPr>
            </w:pPr>
          </w:p>
          <w:p w14:paraId="4E91EF8B" w14:textId="77777777" w:rsidR="002B6FD6" w:rsidRDefault="002B6FD6">
            <w:pPr>
              <w:tabs>
                <w:tab w:val="left" w:pos="420"/>
                <w:tab w:val="center" w:pos="1062"/>
                <w:tab w:val="left" w:pos="7290"/>
              </w:tabs>
              <w:rPr>
                <w:rFonts w:ascii="Calibri" w:eastAsia="Calibri" w:hAnsi="Calibri" w:cs="Calibri"/>
                <w:sz w:val="20"/>
                <w:szCs w:val="20"/>
              </w:rPr>
            </w:pPr>
          </w:p>
          <w:p w14:paraId="4F9F73B3" w14:textId="77777777" w:rsidR="002B6FD6" w:rsidRDefault="002B6FD6">
            <w:pPr>
              <w:tabs>
                <w:tab w:val="left" w:pos="420"/>
                <w:tab w:val="center" w:pos="1062"/>
                <w:tab w:val="left" w:pos="7290"/>
              </w:tabs>
              <w:rPr>
                <w:rFonts w:ascii="Calibri" w:eastAsia="Calibri" w:hAnsi="Calibri" w:cs="Calibri"/>
                <w:sz w:val="20"/>
                <w:szCs w:val="20"/>
              </w:rPr>
            </w:pPr>
          </w:p>
          <w:p w14:paraId="33266974" w14:textId="77777777" w:rsidR="002B6FD6" w:rsidRDefault="002B6FD6">
            <w:pPr>
              <w:tabs>
                <w:tab w:val="left" w:pos="420"/>
                <w:tab w:val="center" w:pos="1062"/>
                <w:tab w:val="left" w:pos="7290"/>
              </w:tabs>
              <w:rPr>
                <w:rFonts w:ascii="Calibri" w:eastAsia="Calibri" w:hAnsi="Calibri" w:cs="Calibri"/>
                <w:sz w:val="20"/>
                <w:szCs w:val="20"/>
              </w:rPr>
            </w:pPr>
          </w:p>
          <w:p w14:paraId="63A84F4B" w14:textId="77777777" w:rsidR="002B6FD6" w:rsidRDefault="002B6FD6">
            <w:pPr>
              <w:tabs>
                <w:tab w:val="left" w:pos="420"/>
                <w:tab w:val="center" w:pos="1062"/>
                <w:tab w:val="left" w:pos="7290"/>
              </w:tabs>
              <w:rPr>
                <w:rFonts w:ascii="Calibri" w:eastAsia="Calibri" w:hAnsi="Calibri" w:cs="Calibri"/>
                <w:color w:val="FF0000"/>
                <w:sz w:val="20"/>
                <w:szCs w:val="20"/>
              </w:rPr>
            </w:pPr>
          </w:p>
          <w:p w14:paraId="4AF6ED60"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Ask </w:t>
            </w:r>
            <w:r>
              <w:rPr>
                <w:rFonts w:ascii="Calibri" w:eastAsia="Calibri" w:hAnsi="Calibri" w:cs="Calibri"/>
                <w:sz w:val="20"/>
                <w:szCs w:val="20"/>
              </w:rPr>
              <w:t>the class whether there is such a thing as a PREA lawsuit and wait for some answers before moving on.</w:t>
            </w:r>
          </w:p>
        </w:tc>
      </w:tr>
      <w:tr w:rsidR="002B6FD6" w14:paraId="37D9883E" w14:textId="77777777">
        <w:tc>
          <w:tcPr>
            <w:tcW w:w="900" w:type="dxa"/>
            <w:tcBorders>
              <w:top w:val="single" w:sz="4" w:space="0" w:color="000000"/>
              <w:left w:val="single" w:sz="4" w:space="0" w:color="000000"/>
              <w:bottom w:val="single" w:sz="4" w:space="0" w:color="000000"/>
              <w:right w:val="single" w:sz="4" w:space="0" w:color="000000"/>
            </w:tcBorders>
          </w:tcPr>
          <w:p w14:paraId="7CC248A5" w14:textId="77777777" w:rsidR="002B6FD6" w:rsidRDefault="00000000">
            <w:pPr>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4469ED88"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Legal Framework</w:t>
            </w:r>
          </w:p>
          <w:p w14:paraId="2ECA6388"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066B130" wp14:editId="3EA865FD">
                  <wp:extent cx="2804160" cy="2103120"/>
                  <wp:effectExtent l="38100" t="38100" r="38100" b="38100"/>
                  <wp:docPr id="10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5592C2E"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lastRenderedPageBreak/>
              <w:t>This means, if an inmate’s rights under the Constitution or federal law are violated, they can use this legal framework to sue. Why would a plaintiff want to take a case to a federal (vs. state) court? Because it removes the “home court” advantage of the agency from their state where they may have relationships.</w:t>
            </w:r>
          </w:p>
        </w:tc>
        <w:tc>
          <w:tcPr>
            <w:tcW w:w="1890" w:type="dxa"/>
            <w:tcBorders>
              <w:top w:val="single" w:sz="4" w:space="0" w:color="000000"/>
              <w:left w:val="single" w:sz="4" w:space="0" w:color="000000"/>
              <w:bottom w:val="single" w:sz="4" w:space="0" w:color="000000"/>
              <w:right w:val="single" w:sz="4" w:space="0" w:color="000000"/>
            </w:tcBorders>
          </w:tcPr>
          <w:p w14:paraId="69009708"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5D5D75CC" wp14:editId="657CF99C">
                  <wp:extent cx="508000" cy="342900"/>
                  <wp:effectExtent l="0" t="0" r="0" b="0"/>
                  <wp:docPr id="107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6AF0232"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Legal Framework</w:t>
            </w:r>
          </w:p>
          <w:p w14:paraId="12F40E69"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3E814B91" w14:textId="77777777">
        <w:tc>
          <w:tcPr>
            <w:tcW w:w="900" w:type="dxa"/>
            <w:tcBorders>
              <w:top w:val="single" w:sz="4" w:space="0" w:color="000000"/>
              <w:left w:val="single" w:sz="4" w:space="0" w:color="000000"/>
              <w:bottom w:val="single" w:sz="4" w:space="0" w:color="000000"/>
              <w:right w:val="single" w:sz="4" w:space="0" w:color="000000"/>
            </w:tcBorders>
          </w:tcPr>
          <w:p w14:paraId="2F4C91E9"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278653E4"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Official Liability: 8</w:t>
            </w:r>
            <w:r>
              <w:rPr>
                <w:rFonts w:ascii="Calibri" w:eastAsia="Calibri" w:hAnsi="Calibri" w:cs="Calibri"/>
                <w:b/>
                <w:color w:val="000000"/>
                <w:vertAlign w:val="superscript"/>
              </w:rPr>
              <w:t>th</w:t>
            </w:r>
            <w:r>
              <w:rPr>
                <w:rFonts w:ascii="Calibri" w:eastAsia="Calibri" w:hAnsi="Calibri" w:cs="Calibri"/>
                <w:b/>
                <w:color w:val="000000"/>
              </w:rPr>
              <w:t xml:space="preserve"> Amendment</w:t>
            </w:r>
          </w:p>
          <w:p w14:paraId="674D06CD"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Farmer v. Brennan, 511 U.S. 825 (1994)</w:t>
            </w:r>
          </w:p>
          <w:p w14:paraId="110AD06D"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0680C219" wp14:editId="14A2E631">
                  <wp:extent cx="2804160" cy="2103120"/>
                  <wp:effectExtent l="38100" t="38100" r="38100" b="38100"/>
                  <wp:docPr id="10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6EA92ED"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The 8</w:t>
            </w:r>
            <w:r>
              <w:rPr>
                <w:rFonts w:ascii="Calibri" w:eastAsia="Calibri" w:hAnsi="Calibri" w:cs="Calibri"/>
                <w:vertAlign w:val="superscript"/>
              </w:rPr>
              <w:t>th</w:t>
            </w:r>
            <w:r>
              <w:rPr>
                <w:rFonts w:ascii="Calibri" w:eastAsia="Calibri" w:hAnsi="Calibri" w:cs="Calibri"/>
              </w:rPr>
              <w:t xml:space="preserve"> Amendment prohibits cruel and unusual punishment. </w:t>
            </w:r>
          </w:p>
          <w:p w14:paraId="50138A2E"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Farmer v. Brennan is one of the more famous 8</w:t>
            </w:r>
            <w:r>
              <w:rPr>
                <w:rFonts w:ascii="Calibri" w:eastAsia="Calibri" w:hAnsi="Calibri" w:cs="Calibri"/>
                <w:vertAlign w:val="superscript"/>
              </w:rPr>
              <w:t>th</w:t>
            </w:r>
            <w:r>
              <w:rPr>
                <w:rFonts w:ascii="Calibri" w:eastAsia="Calibri" w:hAnsi="Calibri" w:cs="Calibri"/>
              </w:rPr>
              <w:t xml:space="preserve"> Amendment lawsuits because it established the legal standard of deliberate indifference. </w:t>
            </w:r>
          </w:p>
          <w:p w14:paraId="18A8D8C3" w14:textId="77777777" w:rsidR="002B6FD6" w:rsidRDefault="00000000">
            <w:pPr>
              <w:widowControl w:val="0"/>
              <w:numPr>
                <w:ilvl w:val="0"/>
                <w:numId w:val="4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This case was brought against the Federal Bureau of Prisons by a prisoner who was sexually abused while in custody. </w:t>
            </w:r>
          </w:p>
          <w:p w14:paraId="20906059" w14:textId="77777777" w:rsidR="002B6FD6" w:rsidRDefault="00000000">
            <w:pPr>
              <w:widowControl w:val="0"/>
              <w:numPr>
                <w:ilvl w:val="0"/>
                <w:numId w:val="4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plaintiff argued that prison officials should have known that he would be hurt in the general population because he was transsexual, and therefore staff should have protected him. </w:t>
            </w:r>
          </w:p>
          <w:p w14:paraId="5DCCEFF3" w14:textId="77777777" w:rsidR="002B6FD6" w:rsidRDefault="00000000">
            <w:pPr>
              <w:widowControl w:val="0"/>
              <w:numPr>
                <w:ilvl w:val="0"/>
                <w:numId w:val="4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He sued on the basis that his 8</w:t>
            </w:r>
            <w:r>
              <w:rPr>
                <w:rFonts w:ascii="Calibri" w:eastAsia="Calibri" w:hAnsi="Calibri" w:cs="Calibri"/>
                <w:color w:val="000000"/>
                <w:vertAlign w:val="superscript"/>
              </w:rPr>
              <w:t>th</w:t>
            </w:r>
            <w:r>
              <w:rPr>
                <w:rFonts w:ascii="Calibri" w:eastAsia="Calibri" w:hAnsi="Calibri" w:cs="Calibri"/>
                <w:color w:val="000000"/>
              </w:rPr>
              <w:t xml:space="preserve"> Amendment right was violated.   </w:t>
            </w:r>
          </w:p>
          <w:p w14:paraId="1A1E3145" w14:textId="77777777" w:rsidR="002B6FD6" w:rsidRDefault="00000000">
            <w:pPr>
              <w:widowControl w:val="0"/>
              <w:numPr>
                <w:ilvl w:val="0"/>
                <w:numId w:val="4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deliberate indifference legal standard has a </w:t>
            </w:r>
            <w:proofErr w:type="gramStart"/>
            <w:r>
              <w:rPr>
                <w:rFonts w:ascii="Calibri" w:eastAsia="Calibri" w:hAnsi="Calibri" w:cs="Calibri"/>
                <w:color w:val="000000"/>
              </w:rPr>
              <w:t>two part</w:t>
            </w:r>
            <w:proofErr w:type="gramEnd"/>
            <w:r>
              <w:rPr>
                <w:rFonts w:ascii="Calibri" w:eastAsia="Calibri" w:hAnsi="Calibri" w:cs="Calibri"/>
                <w:color w:val="000000"/>
              </w:rPr>
              <w:t xml:space="preserve"> test. </w:t>
            </w:r>
          </w:p>
          <w:p w14:paraId="1354DE70" w14:textId="77777777" w:rsidR="002B6FD6" w:rsidRDefault="00000000">
            <w:pPr>
              <w:widowControl w:val="0"/>
              <w:numPr>
                <w:ilvl w:val="0"/>
                <w:numId w:val="3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Was the injury objectively serious? </w:t>
            </w:r>
          </w:p>
          <w:p w14:paraId="39E63545" w14:textId="77777777" w:rsidR="002B6FD6" w:rsidRDefault="00000000">
            <w:pPr>
              <w:widowControl w:val="0"/>
              <w:numPr>
                <w:ilvl w:val="1"/>
                <w:numId w:val="3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What does “objectively” mean? </w:t>
            </w:r>
          </w:p>
          <w:p w14:paraId="4F9675F3" w14:textId="77777777" w:rsidR="002B6FD6" w:rsidRDefault="00000000">
            <w:pPr>
              <w:widowControl w:val="0"/>
              <w:numPr>
                <w:ilvl w:val="1"/>
                <w:numId w:val="3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It means that it can be demonstrated through </w:t>
            </w:r>
            <w:r>
              <w:rPr>
                <w:rFonts w:ascii="Calibri" w:eastAsia="Calibri" w:hAnsi="Calibri" w:cs="Calibri"/>
                <w:color w:val="000000"/>
              </w:rPr>
              <w:lastRenderedPageBreak/>
              <w:t xml:space="preserve">some sort of evidence, e.g., medical records, expert testimony, pictures. </w:t>
            </w:r>
          </w:p>
          <w:p w14:paraId="5A37DBF8" w14:textId="77777777" w:rsidR="002B6FD6" w:rsidRDefault="00000000">
            <w:pPr>
              <w:widowControl w:val="0"/>
              <w:numPr>
                <w:ilvl w:val="1"/>
                <w:numId w:val="3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Can you have an objectively serious mental health injury? Yes.</w:t>
            </w:r>
          </w:p>
          <w:p w14:paraId="2BFE9A21" w14:textId="77777777" w:rsidR="002B6FD6" w:rsidRDefault="00000000">
            <w:pPr>
              <w:widowControl w:val="0"/>
              <w:numPr>
                <w:ilvl w:val="0"/>
                <w:numId w:val="34"/>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Did the official act with deliberate indifference or reckless disregard for the offender’s constitutional rights? </w:t>
            </w:r>
          </w:p>
        </w:tc>
        <w:tc>
          <w:tcPr>
            <w:tcW w:w="1890" w:type="dxa"/>
            <w:tcBorders>
              <w:top w:val="single" w:sz="4" w:space="0" w:color="000000"/>
              <w:left w:val="single" w:sz="4" w:space="0" w:color="000000"/>
              <w:bottom w:val="single" w:sz="4" w:space="0" w:color="000000"/>
              <w:right w:val="single" w:sz="4" w:space="0" w:color="000000"/>
            </w:tcBorders>
          </w:tcPr>
          <w:p w14:paraId="616BA014" w14:textId="77777777" w:rsidR="002B6FD6" w:rsidRDefault="00000000">
            <w:pPr>
              <w:tabs>
                <w:tab w:val="left" w:pos="420"/>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4865A69D" wp14:editId="7EB5B371">
                  <wp:extent cx="508000" cy="342900"/>
                  <wp:effectExtent l="0" t="0" r="0" b="0"/>
                  <wp:docPr id="107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78E91307"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Official Liability: 8</w:t>
            </w:r>
            <w:r>
              <w:rPr>
                <w:rFonts w:ascii="Calibri" w:eastAsia="Calibri" w:hAnsi="Calibri" w:cs="Calibri"/>
                <w:b/>
                <w:color w:val="000000"/>
                <w:sz w:val="20"/>
                <w:szCs w:val="20"/>
                <w:vertAlign w:val="superscript"/>
              </w:rPr>
              <w:t>th</w:t>
            </w:r>
            <w:r>
              <w:rPr>
                <w:rFonts w:ascii="Calibri" w:eastAsia="Calibri" w:hAnsi="Calibri" w:cs="Calibri"/>
                <w:b/>
                <w:color w:val="000000"/>
                <w:sz w:val="20"/>
                <w:szCs w:val="20"/>
              </w:rPr>
              <w:t xml:space="preserve"> Amendment</w:t>
            </w:r>
          </w:p>
          <w:p w14:paraId="208BE5BC" w14:textId="77777777" w:rsidR="002B6FD6" w:rsidRDefault="002B6FD6">
            <w:pPr>
              <w:tabs>
                <w:tab w:val="left" w:pos="420"/>
                <w:tab w:val="left" w:pos="7290"/>
              </w:tabs>
              <w:rPr>
                <w:rFonts w:ascii="Calibri" w:eastAsia="Calibri" w:hAnsi="Calibri" w:cs="Calibri"/>
                <w:sz w:val="20"/>
                <w:szCs w:val="20"/>
              </w:rPr>
            </w:pPr>
          </w:p>
          <w:p w14:paraId="31F9303E" w14:textId="77777777" w:rsidR="002B6FD6" w:rsidRDefault="002B6FD6">
            <w:pPr>
              <w:tabs>
                <w:tab w:val="left" w:pos="420"/>
                <w:tab w:val="left" w:pos="7290"/>
              </w:tabs>
              <w:rPr>
                <w:rFonts w:ascii="Calibri" w:eastAsia="Calibri" w:hAnsi="Calibri" w:cs="Calibri"/>
                <w:sz w:val="20"/>
                <w:szCs w:val="20"/>
              </w:rPr>
            </w:pPr>
          </w:p>
          <w:p w14:paraId="3FBC9749" w14:textId="77777777" w:rsidR="002B6FD6" w:rsidRDefault="00000000">
            <w:pPr>
              <w:tabs>
                <w:tab w:val="left" w:pos="420"/>
                <w:tab w:val="left" w:pos="7290"/>
              </w:tabs>
              <w:rPr>
                <w:rFonts w:ascii="Calibri" w:eastAsia="Calibri" w:hAnsi="Calibri" w:cs="Calibri"/>
                <w:sz w:val="20"/>
                <w:szCs w:val="20"/>
              </w:rPr>
            </w:pPr>
            <w:r>
              <w:rPr>
                <w:rFonts w:ascii="Calibri" w:eastAsia="Calibri" w:hAnsi="Calibri" w:cs="Calibri"/>
                <w:sz w:val="20"/>
                <w:szCs w:val="20"/>
              </w:rPr>
              <w:t>Ask the class the following questions and wait for answers. Encourage discussion.</w:t>
            </w:r>
          </w:p>
          <w:p w14:paraId="4104A06A" w14:textId="77777777" w:rsidR="002B6FD6" w:rsidRDefault="002B6FD6">
            <w:pPr>
              <w:tabs>
                <w:tab w:val="left" w:pos="420"/>
                <w:tab w:val="left" w:pos="7290"/>
              </w:tabs>
              <w:rPr>
                <w:rFonts w:ascii="Calibri" w:eastAsia="Calibri" w:hAnsi="Calibri" w:cs="Calibri"/>
                <w:sz w:val="20"/>
                <w:szCs w:val="20"/>
              </w:rPr>
            </w:pPr>
          </w:p>
          <w:p w14:paraId="698AD4A1" w14:textId="77777777" w:rsidR="002B6FD6" w:rsidRDefault="002B6FD6">
            <w:pPr>
              <w:tabs>
                <w:tab w:val="left" w:pos="420"/>
                <w:tab w:val="left" w:pos="7290"/>
              </w:tabs>
              <w:rPr>
                <w:rFonts w:ascii="Calibri" w:eastAsia="Calibri" w:hAnsi="Calibri" w:cs="Calibri"/>
                <w:sz w:val="20"/>
                <w:szCs w:val="20"/>
              </w:rPr>
            </w:pPr>
          </w:p>
          <w:p w14:paraId="0E0C0154" w14:textId="77777777" w:rsidR="002B6FD6" w:rsidRDefault="002B6FD6">
            <w:pPr>
              <w:tabs>
                <w:tab w:val="left" w:pos="420"/>
                <w:tab w:val="left" w:pos="7290"/>
              </w:tabs>
              <w:rPr>
                <w:rFonts w:ascii="Calibri" w:eastAsia="Calibri" w:hAnsi="Calibri" w:cs="Calibri"/>
                <w:sz w:val="20"/>
                <w:szCs w:val="20"/>
              </w:rPr>
            </w:pPr>
          </w:p>
          <w:p w14:paraId="7D9BA903" w14:textId="77777777" w:rsidR="002B6FD6" w:rsidRDefault="002B6FD6">
            <w:pPr>
              <w:tabs>
                <w:tab w:val="left" w:pos="420"/>
                <w:tab w:val="left" w:pos="7290"/>
              </w:tabs>
              <w:rPr>
                <w:rFonts w:ascii="Calibri" w:eastAsia="Calibri" w:hAnsi="Calibri" w:cs="Calibri"/>
                <w:sz w:val="20"/>
                <w:szCs w:val="20"/>
              </w:rPr>
            </w:pPr>
          </w:p>
          <w:p w14:paraId="57AFCC74" w14:textId="77777777" w:rsidR="002B6FD6" w:rsidRDefault="002B6FD6">
            <w:pPr>
              <w:tabs>
                <w:tab w:val="left" w:pos="420"/>
                <w:tab w:val="left" w:pos="7290"/>
              </w:tabs>
              <w:rPr>
                <w:rFonts w:ascii="Calibri" w:eastAsia="Calibri" w:hAnsi="Calibri" w:cs="Calibri"/>
                <w:sz w:val="20"/>
                <w:szCs w:val="20"/>
              </w:rPr>
            </w:pPr>
          </w:p>
          <w:p w14:paraId="0E435B6E" w14:textId="77777777" w:rsidR="002B6FD6" w:rsidRDefault="002B6FD6">
            <w:pPr>
              <w:tabs>
                <w:tab w:val="left" w:pos="420"/>
                <w:tab w:val="left" w:pos="7290"/>
              </w:tabs>
              <w:rPr>
                <w:rFonts w:ascii="Calibri" w:eastAsia="Calibri" w:hAnsi="Calibri" w:cs="Calibri"/>
                <w:sz w:val="20"/>
                <w:szCs w:val="20"/>
              </w:rPr>
            </w:pPr>
          </w:p>
          <w:p w14:paraId="491743E8" w14:textId="77777777" w:rsidR="002B6FD6" w:rsidRDefault="002B6FD6">
            <w:pPr>
              <w:tabs>
                <w:tab w:val="left" w:pos="420"/>
                <w:tab w:val="left" w:pos="7290"/>
              </w:tabs>
              <w:rPr>
                <w:rFonts w:ascii="Calibri" w:eastAsia="Calibri" w:hAnsi="Calibri" w:cs="Calibri"/>
                <w:sz w:val="20"/>
                <w:szCs w:val="20"/>
              </w:rPr>
            </w:pPr>
          </w:p>
          <w:p w14:paraId="1C94F6EC" w14:textId="77777777" w:rsidR="002B6FD6" w:rsidRDefault="002B6FD6">
            <w:pPr>
              <w:tabs>
                <w:tab w:val="left" w:pos="420"/>
                <w:tab w:val="left" w:pos="7290"/>
              </w:tabs>
              <w:rPr>
                <w:rFonts w:ascii="Calibri" w:eastAsia="Calibri" w:hAnsi="Calibri" w:cs="Calibri"/>
                <w:sz w:val="20"/>
                <w:szCs w:val="20"/>
              </w:rPr>
            </w:pPr>
          </w:p>
          <w:p w14:paraId="19D174D5" w14:textId="77777777" w:rsidR="002B6FD6" w:rsidRDefault="002B6FD6">
            <w:pPr>
              <w:tabs>
                <w:tab w:val="left" w:pos="420"/>
                <w:tab w:val="left" w:pos="7290"/>
              </w:tabs>
              <w:rPr>
                <w:rFonts w:ascii="Calibri" w:eastAsia="Calibri" w:hAnsi="Calibri" w:cs="Calibri"/>
                <w:sz w:val="20"/>
                <w:szCs w:val="20"/>
              </w:rPr>
            </w:pPr>
          </w:p>
          <w:p w14:paraId="137BD298" w14:textId="77777777" w:rsidR="002B6FD6" w:rsidRDefault="00000000">
            <w:pPr>
              <w:tabs>
                <w:tab w:val="left" w:pos="420"/>
                <w:tab w:val="left" w:pos="7290"/>
              </w:tabs>
              <w:rPr>
                <w:rFonts w:ascii="Calibri" w:eastAsia="Calibri" w:hAnsi="Calibri" w:cs="Calibri"/>
                <w:sz w:val="20"/>
                <w:szCs w:val="20"/>
              </w:rPr>
            </w:pPr>
            <w:r>
              <w:rPr>
                <w:rFonts w:ascii="Calibri" w:eastAsia="Calibri" w:hAnsi="Calibri" w:cs="Calibri"/>
                <w:sz w:val="20"/>
                <w:szCs w:val="20"/>
              </w:rPr>
              <w:t>Ask: What does deliberate indifference mean?</w:t>
            </w:r>
          </w:p>
          <w:p w14:paraId="104AC213" w14:textId="77777777" w:rsidR="002B6FD6" w:rsidRDefault="002B6FD6">
            <w:pPr>
              <w:tabs>
                <w:tab w:val="left" w:pos="420"/>
                <w:tab w:val="left" w:pos="7290"/>
              </w:tabs>
              <w:rPr>
                <w:rFonts w:ascii="Calibri" w:eastAsia="Calibri" w:hAnsi="Calibri" w:cs="Calibri"/>
                <w:sz w:val="20"/>
                <w:szCs w:val="20"/>
              </w:rPr>
            </w:pPr>
          </w:p>
          <w:p w14:paraId="1F0416DD" w14:textId="77777777" w:rsidR="002B6FD6" w:rsidRDefault="002B6FD6">
            <w:pPr>
              <w:tabs>
                <w:tab w:val="left" w:pos="420"/>
                <w:tab w:val="left" w:pos="7290"/>
              </w:tabs>
              <w:rPr>
                <w:rFonts w:ascii="Calibri" w:eastAsia="Calibri" w:hAnsi="Calibri" w:cs="Calibri"/>
                <w:sz w:val="20"/>
                <w:szCs w:val="20"/>
              </w:rPr>
            </w:pPr>
          </w:p>
          <w:p w14:paraId="7AEDEC75" w14:textId="77777777" w:rsidR="002B6FD6" w:rsidRDefault="002B6FD6">
            <w:pPr>
              <w:tabs>
                <w:tab w:val="left" w:pos="420"/>
                <w:tab w:val="left" w:pos="7290"/>
              </w:tabs>
              <w:rPr>
                <w:rFonts w:ascii="Calibri" w:eastAsia="Calibri" w:hAnsi="Calibri" w:cs="Calibri"/>
                <w:color w:val="FF0000"/>
                <w:sz w:val="20"/>
                <w:szCs w:val="20"/>
              </w:rPr>
            </w:pPr>
          </w:p>
          <w:p w14:paraId="14952BFC" w14:textId="77777777" w:rsidR="002B6FD6" w:rsidRDefault="002B6FD6">
            <w:pPr>
              <w:tabs>
                <w:tab w:val="left" w:pos="420"/>
                <w:tab w:val="left" w:pos="7290"/>
              </w:tabs>
              <w:rPr>
                <w:rFonts w:ascii="Calibri" w:eastAsia="Calibri" w:hAnsi="Calibri" w:cs="Calibri"/>
                <w:color w:val="FF0000"/>
                <w:sz w:val="20"/>
                <w:szCs w:val="20"/>
              </w:rPr>
            </w:pPr>
          </w:p>
          <w:p w14:paraId="39C5102E" w14:textId="77777777" w:rsidR="002B6FD6" w:rsidRDefault="002B6FD6">
            <w:pPr>
              <w:tabs>
                <w:tab w:val="left" w:pos="420"/>
                <w:tab w:val="left" w:pos="7290"/>
              </w:tabs>
              <w:rPr>
                <w:rFonts w:ascii="Calibri" w:eastAsia="Calibri" w:hAnsi="Calibri" w:cs="Calibri"/>
                <w:color w:val="FF0000"/>
                <w:sz w:val="20"/>
                <w:szCs w:val="20"/>
              </w:rPr>
            </w:pPr>
          </w:p>
          <w:p w14:paraId="580A7FF0" w14:textId="77777777" w:rsidR="002B6FD6" w:rsidRDefault="002B6FD6">
            <w:pPr>
              <w:tabs>
                <w:tab w:val="left" w:pos="420"/>
                <w:tab w:val="left" w:pos="7290"/>
              </w:tabs>
              <w:rPr>
                <w:rFonts w:ascii="Calibri" w:eastAsia="Calibri" w:hAnsi="Calibri" w:cs="Calibri"/>
                <w:color w:val="FF0000"/>
                <w:sz w:val="20"/>
                <w:szCs w:val="20"/>
              </w:rPr>
            </w:pPr>
          </w:p>
          <w:p w14:paraId="25DB021D" w14:textId="77777777" w:rsidR="002B6FD6" w:rsidRDefault="002B6FD6">
            <w:pPr>
              <w:tabs>
                <w:tab w:val="left" w:pos="420"/>
                <w:tab w:val="left" w:pos="7290"/>
              </w:tabs>
              <w:rPr>
                <w:rFonts w:ascii="Calibri" w:eastAsia="Calibri" w:hAnsi="Calibri" w:cs="Calibri"/>
                <w:color w:val="FF0000"/>
                <w:sz w:val="20"/>
                <w:szCs w:val="20"/>
              </w:rPr>
            </w:pPr>
          </w:p>
          <w:p w14:paraId="5DECE9E6" w14:textId="77777777" w:rsidR="002B6FD6" w:rsidRDefault="002B6FD6">
            <w:pPr>
              <w:tabs>
                <w:tab w:val="left" w:pos="420"/>
                <w:tab w:val="left" w:pos="7290"/>
              </w:tabs>
              <w:rPr>
                <w:rFonts w:ascii="Calibri" w:eastAsia="Calibri" w:hAnsi="Calibri" w:cs="Calibri"/>
                <w:color w:val="FF0000"/>
                <w:sz w:val="20"/>
                <w:szCs w:val="20"/>
              </w:rPr>
            </w:pPr>
          </w:p>
          <w:p w14:paraId="64D614D0" w14:textId="77777777" w:rsidR="002B6FD6" w:rsidRDefault="002B6FD6">
            <w:pPr>
              <w:tabs>
                <w:tab w:val="left" w:pos="420"/>
                <w:tab w:val="left" w:pos="7290"/>
              </w:tabs>
              <w:rPr>
                <w:rFonts w:ascii="Calibri" w:eastAsia="Calibri" w:hAnsi="Calibri" w:cs="Calibri"/>
                <w:color w:val="FF0000"/>
                <w:sz w:val="20"/>
                <w:szCs w:val="20"/>
              </w:rPr>
            </w:pPr>
          </w:p>
          <w:p w14:paraId="03E95DDC" w14:textId="77777777" w:rsidR="002B6FD6" w:rsidRDefault="002B6FD6">
            <w:pPr>
              <w:tabs>
                <w:tab w:val="left" w:pos="420"/>
                <w:tab w:val="left" w:pos="7290"/>
              </w:tabs>
              <w:rPr>
                <w:rFonts w:ascii="Calibri" w:eastAsia="Calibri" w:hAnsi="Calibri" w:cs="Calibri"/>
                <w:color w:val="FF0000"/>
                <w:sz w:val="20"/>
                <w:szCs w:val="20"/>
              </w:rPr>
            </w:pPr>
          </w:p>
          <w:p w14:paraId="2AC282C9" w14:textId="77777777" w:rsidR="002B6FD6" w:rsidRDefault="002B6FD6">
            <w:pPr>
              <w:tabs>
                <w:tab w:val="left" w:pos="420"/>
                <w:tab w:val="left" w:pos="7290"/>
              </w:tabs>
              <w:rPr>
                <w:rFonts w:ascii="Calibri" w:eastAsia="Calibri" w:hAnsi="Calibri" w:cs="Calibri"/>
                <w:color w:val="FF0000"/>
                <w:sz w:val="20"/>
                <w:szCs w:val="20"/>
              </w:rPr>
            </w:pPr>
          </w:p>
          <w:p w14:paraId="032025E6" w14:textId="77777777" w:rsidR="002B6FD6" w:rsidRDefault="002B6FD6">
            <w:pPr>
              <w:tabs>
                <w:tab w:val="left" w:pos="420"/>
                <w:tab w:val="left" w:pos="7290"/>
              </w:tabs>
              <w:rPr>
                <w:rFonts w:ascii="Calibri" w:eastAsia="Calibri" w:hAnsi="Calibri" w:cs="Calibri"/>
                <w:color w:val="FF0000"/>
                <w:sz w:val="20"/>
                <w:szCs w:val="20"/>
              </w:rPr>
            </w:pPr>
          </w:p>
          <w:p w14:paraId="035AA9F9" w14:textId="77777777" w:rsidR="002B6FD6" w:rsidRDefault="002B6FD6">
            <w:pPr>
              <w:tabs>
                <w:tab w:val="left" w:pos="420"/>
                <w:tab w:val="left" w:pos="7290"/>
              </w:tabs>
              <w:rPr>
                <w:rFonts w:ascii="Calibri" w:eastAsia="Calibri" w:hAnsi="Calibri" w:cs="Calibri"/>
                <w:color w:val="FF0000"/>
                <w:sz w:val="20"/>
                <w:szCs w:val="20"/>
              </w:rPr>
            </w:pPr>
          </w:p>
          <w:p w14:paraId="48375887" w14:textId="77777777" w:rsidR="002B6FD6" w:rsidRDefault="002B6FD6">
            <w:pPr>
              <w:tabs>
                <w:tab w:val="left" w:pos="420"/>
                <w:tab w:val="left" w:pos="7290"/>
              </w:tabs>
              <w:rPr>
                <w:rFonts w:ascii="Calibri" w:eastAsia="Calibri" w:hAnsi="Calibri" w:cs="Calibri"/>
                <w:color w:val="FF0000"/>
                <w:sz w:val="20"/>
                <w:szCs w:val="20"/>
              </w:rPr>
            </w:pPr>
          </w:p>
          <w:p w14:paraId="0E4BFDD1" w14:textId="77777777" w:rsidR="002B6FD6" w:rsidRDefault="002B6FD6">
            <w:pPr>
              <w:tabs>
                <w:tab w:val="left" w:pos="420"/>
                <w:tab w:val="left" w:pos="7290"/>
              </w:tabs>
              <w:rPr>
                <w:rFonts w:ascii="Calibri" w:eastAsia="Calibri" w:hAnsi="Calibri" w:cs="Calibri"/>
                <w:color w:val="FF0000"/>
                <w:sz w:val="20"/>
                <w:szCs w:val="20"/>
              </w:rPr>
            </w:pPr>
          </w:p>
          <w:p w14:paraId="1454E9C2" w14:textId="77777777" w:rsidR="002B6FD6" w:rsidRDefault="002B6FD6">
            <w:pPr>
              <w:tabs>
                <w:tab w:val="left" w:pos="420"/>
                <w:tab w:val="left" w:pos="7290"/>
              </w:tabs>
              <w:rPr>
                <w:rFonts w:ascii="Calibri" w:eastAsia="Calibri" w:hAnsi="Calibri" w:cs="Calibri"/>
                <w:color w:val="FF0000"/>
                <w:sz w:val="20"/>
                <w:szCs w:val="20"/>
              </w:rPr>
            </w:pPr>
          </w:p>
          <w:p w14:paraId="18987F1C" w14:textId="77777777" w:rsidR="002B6FD6" w:rsidRDefault="002B6FD6">
            <w:pPr>
              <w:tabs>
                <w:tab w:val="left" w:pos="420"/>
                <w:tab w:val="left" w:pos="7290"/>
              </w:tabs>
              <w:rPr>
                <w:rFonts w:ascii="Calibri" w:eastAsia="Calibri" w:hAnsi="Calibri" w:cs="Calibri"/>
                <w:color w:val="FF0000"/>
                <w:sz w:val="20"/>
                <w:szCs w:val="20"/>
              </w:rPr>
            </w:pPr>
          </w:p>
          <w:p w14:paraId="2D512186" w14:textId="77777777" w:rsidR="002B6FD6" w:rsidRDefault="002B6FD6">
            <w:pPr>
              <w:tabs>
                <w:tab w:val="left" w:pos="420"/>
                <w:tab w:val="left" w:pos="7290"/>
              </w:tabs>
              <w:rPr>
                <w:rFonts w:ascii="Calibri" w:eastAsia="Calibri" w:hAnsi="Calibri" w:cs="Calibri"/>
                <w:color w:val="FF0000"/>
                <w:sz w:val="20"/>
                <w:szCs w:val="20"/>
              </w:rPr>
            </w:pPr>
          </w:p>
          <w:p w14:paraId="1C7FEF0B" w14:textId="77777777" w:rsidR="002B6FD6" w:rsidRDefault="002B6FD6">
            <w:pPr>
              <w:tabs>
                <w:tab w:val="left" w:pos="420"/>
                <w:tab w:val="left" w:pos="7290"/>
              </w:tabs>
              <w:rPr>
                <w:rFonts w:ascii="Calibri" w:eastAsia="Calibri" w:hAnsi="Calibri" w:cs="Calibri"/>
                <w:color w:val="FF0000"/>
                <w:sz w:val="20"/>
                <w:szCs w:val="20"/>
              </w:rPr>
            </w:pPr>
          </w:p>
          <w:p w14:paraId="730238E8" w14:textId="77777777" w:rsidR="002B6FD6" w:rsidRDefault="002B6FD6">
            <w:pPr>
              <w:tabs>
                <w:tab w:val="left" w:pos="420"/>
                <w:tab w:val="left" w:pos="7290"/>
              </w:tabs>
              <w:rPr>
                <w:rFonts w:ascii="Calibri" w:eastAsia="Calibri" w:hAnsi="Calibri" w:cs="Calibri"/>
                <w:color w:val="FF0000"/>
                <w:sz w:val="20"/>
                <w:szCs w:val="20"/>
              </w:rPr>
            </w:pPr>
          </w:p>
          <w:p w14:paraId="374E1A29" w14:textId="77777777" w:rsidR="002B6FD6" w:rsidRDefault="002B6FD6">
            <w:pPr>
              <w:tabs>
                <w:tab w:val="left" w:pos="420"/>
                <w:tab w:val="left" w:pos="7290"/>
              </w:tabs>
              <w:rPr>
                <w:rFonts w:ascii="Calibri" w:eastAsia="Calibri" w:hAnsi="Calibri" w:cs="Calibri"/>
                <w:color w:val="FF0000"/>
                <w:sz w:val="20"/>
                <w:szCs w:val="20"/>
              </w:rPr>
            </w:pPr>
          </w:p>
          <w:p w14:paraId="4A4E76BA" w14:textId="77777777" w:rsidR="002B6FD6" w:rsidRDefault="002B6FD6">
            <w:pPr>
              <w:tabs>
                <w:tab w:val="left" w:pos="420"/>
                <w:tab w:val="left" w:pos="7290"/>
              </w:tabs>
              <w:rPr>
                <w:rFonts w:ascii="Calibri" w:eastAsia="Calibri" w:hAnsi="Calibri" w:cs="Calibri"/>
                <w:color w:val="FF0000"/>
                <w:sz w:val="20"/>
                <w:szCs w:val="20"/>
              </w:rPr>
            </w:pPr>
          </w:p>
          <w:p w14:paraId="3F2DA39F" w14:textId="77777777" w:rsidR="002B6FD6" w:rsidRDefault="002B6FD6">
            <w:pPr>
              <w:tabs>
                <w:tab w:val="left" w:pos="420"/>
                <w:tab w:val="left" w:pos="7290"/>
              </w:tabs>
              <w:rPr>
                <w:rFonts w:ascii="Calibri" w:eastAsia="Calibri" w:hAnsi="Calibri" w:cs="Calibri"/>
                <w:color w:val="FF0000"/>
                <w:sz w:val="20"/>
                <w:szCs w:val="20"/>
              </w:rPr>
            </w:pPr>
          </w:p>
          <w:p w14:paraId="54EAF3BC" w14:textId="77777777" w:rsidR="002B6FD6" w:rsidRDefault="002B6FD6">
            <w:pPr>
              <w:tabs>
                <w:tab w:val="left" w:pos="420"/>
                <w:tab w:val="left" w:pos="7290"/>
              </w:tabs>
              <w:rPr>
                <w:rFonts w:ascii="Calibri" w:eastAsia="Calibri" w:hAnsi="Calibri" w:cs="Calibri"/>
                <w:color w:val="FF0000"/>
                <w:sz w:val="20"/>
                <w:szCs w:val="20"/>
              </w:rPr>
            </w:pPr>
          </w:p>
          <w:p w14:paraId="54955F7E" w14:textId="77777777" w:rsidR="002B6FD6" w:rsidRDefault="00000000">
            <w:pPr>
              <w:tabs>
                <w:tab w:val="left" w:pos="420"/>
                <w:tab w:val="left" w:pos="7290"/>
              </w:tabs>
              <w:rPr>
                <w:rFonts w:ascii="Calibri" w:eastAsia="Calibri" w:hAnsi="Calibri" w:cs="Calibri"/>
                <w:sz w:val="20"/>
                <w:szCs w:val="20"/>
              </w:rPr>
            </w:pPr>
            <w:r>
              <w:rPr>
                <w:rFonts w:ascii="Calibri" w:eastAsia="Calibri" w:hAnsi="Calibri" w:cs="Calibri"/>
                <w:sz w:val="20"/>
                <w:szCs w:val="20"/>
              </w:rPr>
              <w:t>Ask: What does “objective” mean?</w:t>
            </w:r>
          </w:p>
          <w:p w14:paraId="017D49B5" w14:textId="77777777" w:rsidR="002B6FD6" w:rsidRDefault="002B6FD6">
            <w:pPr>
              <w:tabs>
                <w:tab w:val="left" w:pos="420"/>
                <w:tab w:val="left" w:pos="7290"/>
              </w:tabs>
              <w:rPr>
                <w:rFonts w:ascii="Calibri" w:eastAsia="Calibri" w:hAnsi="Calibri" w:cs="Calibri"/>
                <w:sz w:val="20"/>
                <w:szCs w:val="20"/>
              </w:rPr>
            </w:pPr>
          </w:p>
        </w:tc>
      </w:tr>
      <w:tr w:rsidR="002B6FD6" w14:paraId="77538D50" w14:textId="77777777">
        <w:tc>
          <w:tcPr>
            <w:tcW w:w="900" w:type="dxa"/>
            <w:tcBorders>
              <w:top w:val="single" w:sz="4" w:space="0" w:color="000000"/>
              <w:left w:val="single" w:sz="4" w:space="0" w:color="000000"/>
              <w:bottom w:val="single" w:sz="4" w:space="0" w:color="000000"/>
              <w:right w:val="single" w:sz="4" w:space="0" w:color="000000"/>
            </w:tcBorders>
          </w:tcPr>
          <w:p w14:paraId="013CD6F8" w14:textId="77777777" w:rsidR="002B6FD6" w:rsidRDefault="00000000">
            <w:pPr>
              <w:tabs>
                <w:tab w:val="left" w:pos="7290"/>
              </w:tabs>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160F8625"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8</w:t>
            </w:r>
            <w:r>
              <w:rPr>
                <w:rFonts w:ascii="Calibri" w:eastAsia="Calibri" w:hAnsi="Calibri" w:cs="Calibri"/>
                <w:b/>
                <w:color w:val="000000"/>
                <w:vertAlign w:val="superscript"/>
              </w:rPr>
              <w:t>th</w:t>
            </w:r>
            <w:r>
              <w:rPr>
                <w:rFonts w:ascii="Calibri" w:eastAsia="Calibri" w:hAnsi="Calibri" w:cs="Calibri"/>
                <w:b/>
                <w:color w:val="000000"/>
              </w:rPr>
              <w:t xml:space="preserve"> Amendment:  What the Court Looks For</w:t>
            </w:r>
          </w:p>
          <w:p w14:paraId="6C99E6B2" w14:textId="77777777" w:rsidR="002B6FD6" w:rsidRDefault="00000000">
            <w:pPr>
              <w:widowControl w:val="0"/>
              <w:spacing w:after="200" w:line="276" w:lineRule="auto"/>
              <w:jc w:val="center"/>
              <w:rPr>
                <w:rFonts w:ascii="Calibri" w:eastAsia="Calibri" w:hAnsi="Calibri" w:cs="Calibri"/>
              </w:rPr>
            </w:pPr>
            <w:r>
              <w:rPr>
                <w:rFonts w:ascii="Calibri" w:eastAsia="Calibri" w:hAnsi="Calibri" w:cs="Calibri"/>
                <w:noProof/>
              </w:rPr>
              <w:drawing>
                <wp:inline distT="0" distB="0" distL="0" distR="0" wp14:anchorId="1BB1F129" wp14:editId="147D7628">
                  <wp:extent cx="2800265" cy="2100198"/>
                  <wp:effectExtent l="38100" t="38100" r="38100" b="38100"/>
                  <wp:docPr id="10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2800265" cy="2100198"/>
                          </a:xfrm>
                          <a:prstGeom prst="rect">
                            <a:avLst/>
                          </a:prstGeom>
                          <a:ln w="38100">
                            <a:solidFill>
                              <a:srgbClr val="000000"/>
                            </a:solidFill>
                            <a:prstDash val="solid"/>
                          </a:ln>
                        </pic:spPr>
                      </pic:pic>
                    </a:graphicData>
                  </a:graphic>
                </wp:inline>
              </w:drawing>
            </w:r>
          </w:p>
          <w:p w14:paraId="67343B47"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Deliberate indifference means that the official wantonly disregarded knowledge that he/she had or that he/she should have known. </w:t>
            </w:r>
          </w:p>
          <w:p w14:paraId="59D2F7B8" w14:textId="77777777" w:rsidR="002B6FD6" w:rsidRDefault="00000000">
            <w:pPr>
              <w:widowControl w:val="0"/>
              <w:numPr>
                <w:ilvl w:val="0"/>
                <w:numId w:val="4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court looks to see whether officials demonstrated a deliberate indifference to some risk factor, either to the inmate’s safety or health. </w:t>
            </w:r>
          </w:p>
          <w:p w14:paraId="0D764163" w14:textId="77777777" w:rsidR="002B6FD6" w:rsidRDefault="00000000">
            <w:pPr>
              <w:widowControl w:val="0"/>
              <w:numPr>
                <w:ilvl w:val="0"/>
                <w:numId w:val="4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This would mean that the official knew of and disregarded an excessive risk to inmate/resident safety or health, or that the official was aware of facts that indicated a substantial risk of </w:t>
            </w:r>
            <w:proofErr w:type="gramStart"/>
            <w:r>
              <w:rPr>
                <w:rFonts w:ascii="Calibri" w:eastAsia="Calibri" w:hAnsi="Calibri" w:cs="Calibri"/>
                <w:color w:val="000000"/>
              </w:rPr>
              <w:t>harm</w:t>
            </w:r>
            <w:proofErr w:type="gramEnd"/>
            <w:r>
              <w:rPr>
                <w:rFonts w:ascii="Calibri" w:eastAsia="Calibri" w:hAnsi="Calibri" w:cs="Calibri"/>
                <w:color w:val="000000"/>
              </w:rPr>
              <w:t xml:space="preserve"> and that the official drew that inference.</w:t>
            </w:r>
          </w:p>
          <w:p w14:paraId="0CB729E4" w14:textId="77777777" w:rsidR="002B6FD6" w:rsidRDefault="00000000">
            <w:pPr>
              <w:widowControl w:val="0"/>
              <w:numPr>
                <w:ilvl w:val="0"/>
                <w:numId w:val="41"/>
              </w:num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rPr>
              <w:t>It’s important to note that the official does not need to know of any actual harm, but just be aware of the risk of harm.</w:t>
            </w:r>
          </w:p>
          <w:p w14:paraId="69CEC8C5" w14:textId="77777777" w:rsidR="002B6FD6" w:rsidRDefault="002B6FD6">
            <w:pPr>
              <w:widowControl w:val="0"/>
              <w:spacing w:after="200" w:line="276" w:lineRule="auto"/>
              <w:rPr>
                <w:rFonts w:ascii="Calibri" w:eastAsia="Calibri" w:hAnsi="Calibri" w:cs="Calibri"/>
              </w:rPr>
            </w:pPr>
          </w:p>
        </w:tc>
        <w:tc>
          <w:tcPr>
            <w:tcW w:w="1890" w:type="dxa"/>
            <w:tcBorders>
              <w:top w:val="single" w:sz="4" w:space="0" w:color="000000"/>
              <w:left w:val="single" w:sz="4" w:space="0" w:color="000000"/>
              <w:bottom w:val="single" w:sz="4" w:space="0" w:color="000000"/>
              <w:right w:val="single" w:sz="4" w:space="0" w:color="000000"/>
            </w:tcBorders>
          </w:tcPr>
          <w:p w14:paraId="3CF92F91"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2C2AA237" wp14:editId="7A9DEEF8">
                  <wp:extent cx="508000" cy="342900"/>
                  <wp:effectExtent l="0" t="0" r="0" b="0"/>
                  <wp:docPr id="105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EA2AD23"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8</w:t>
            </w:r>
            <w:r>
              <w:rPr>
                <w:rFonts w:ascii="Calibri" w:eastAsia="Calibri" w:hAnsi="Calibri" w:cs="Calibri"/>
                <w:b/>
                <w:color w:val="000000"/>
                <w:sz w:val="20"/>
                <w:szCs w:val="20"/>
                <w:vertAlign w:val="superscript"/>
              </w:rPr>
              <w:t>th</w:t>
            </w:r>
            <w:r>
              <w:rPr>
                <w:rFonts w:ascii="Calibri" w:eastAsia="Calibri" w:hAnsi="Calibri" w:cs="Calibri"/>
                <w:b/>
                <w:color w:val="000000"/>
                <w:sz w:val="20"/>
                <w:szCs w:val="20"/>
              </w:rPr>
              <w:t xml:space="preserve"> Amendment:  What the Court Looks For</w:t>
            </w:r>
          </w:p>
          <w:p w14:paraId="01D8DAEE"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16D03D9F" w14:textId="77777777">
        <w:tc>
          <w:tcPr>
            <w:tcW w:w="900" w:type="dxa"/>
            <w:tcBorders>
              <w:top w:val="single" w:sz="4" w:space="0" w:color="000000"/>
              <w:left w:val="single" w:sz="4" w:space="0" w:color="000000"/>
              <w:bottom w:val="single" w:sz="4" w:space="0" w:color="000000"/>
              <w:right w:val="single" w:sz="4" w:space="0" w:color="000000"/>
            </w:tcBorders>
          </w:tcPr>
          <w:p w14:paraId="5B612063"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38245D24"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Legal Framework</w:t>
            </w:r>
          </w:p>
          <w:p w14:paraId="66160C7C" w14:textId="77777777" w:rsidR="002B6FD6" w:rsidRDefault="00000000">
            <w:pPr>
              <w:widowControl w:val="0"/>
              <w:pBdr>
                <w:top w:val="nil"/>
                <w:left w:val="nil"/>
                <w:bottom w:val="nil"/>
                <w:right w:val="nil"/>
                <w:between w:val="nil"/>
              </w:pBdr>
              <w:spacing w:line="276" w:lineRule="auto"/>
              <w:rPr>
                <w:rFonts w:ascii="Calibri" w:eastAsia="Calibri" w:hAnsi="Calibri" w:cs="Calibri"/>
                <w:color w:val="000000"/>
              </w:rPr>
            </w:pPr>
            <w:r>
              <w:rPr>
                <w:noProof/>
              </w:rPr>
              <w:drawing>
                <wp:anchor distT="0" distB="0" distL="114300" distR="114300" simplePos="0" relativeHeight="251661312" behindDoc="0" locked="0" layoutInCell="1" hidden="0" allowOverlap="1" wp14:anchorId="17E59BE1" wp14:editId="5E99BCE9">
                  <wp:simplePos x="0" y="0"/>
                  <wp:positionH relativeFrom="column">
                    <wp:posOffset>568960</wp:posOffset>
                  </wp:positionH>
                  <wp:positionV relativeFrom="paragraph">
                    <wp:posOffset>129540</wp:posOffset>
                  </wp:positionV>
                  <wp:extent cx="2804160" cy="2103120"/>
                  <wp:effectExtent l="38100" t="38100" r="38100" b="38100"/>
                  <wp:wrapSquare wrapText="bothSides" distT="0" distB="0" distL="114300" distR="114300"/>
                  <wp:docPr id="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2804160" cy="2103120"/>
                          </a:xfrm>
                          <a:prstGeom prst="rect">
                            <a:avLst/>
                          </a:prstGeom>
                          <a:ln w="38100">
                            <a:solidFill>
                              <a:srgbClr val="000000"/>
                            </a:solidFill>
                            <a:prstDash val="solid"/>
                          </a:ln>
                        </pic:spPr>
                      </pic:pic>
                    </a:graphicData>
                  </a:graphic>
                </wp:anchor>
              </w:drawing>
            </w:r>
          </w:p>
          <w:p w14:paraId="76E9EC27"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07157EB8"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5EAB17B5"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64B963CD"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3736A2A3"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460A2806"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0EAE3BBC"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4D364EB2"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3775F3BB" w14:textId="77777777" w:rsidR="002B6FD6" w:rsidRDefault="002B6FD6">
            <w:pPr>
              <w:widowControl w:val="0"/>
              <w:pBdr>
                <w:top w:val="nil"/>
                <w:left w:val="nil"/>
                <w:bottom w:val="nil"/>
                <w:right w:val="nil"/>
                <w:between w:val="nil"/>
              </w:pBdr>
              <w:spacing w:line="276" w:lineRule="auto"/>
              <w:rPr>
                <w:rFonts w:ascii="Calibri" w:eastAsia="Calibri" w:hAnsi="Calibri" w:cs="Calibri"/>
                <w:color w:val="000000"/>
              </w:rPr>
            </w:pPr>
          </w:p>
          <w:p w14:paraId="43142A72" w14:textId="77777777" w:rsidR="002B6FD6" w:rsidRDefault="002B6FD6">
            <w:pPr>
              <w:widowControl w:val="0"/>
              <w:pBdr>
                <w:top w:val="nil"/>
                <w:left w:val="nil"/>
                <w:bottom w:val="nil"/>
                <w:right w:val="nil"/>
                <w:between w:val="nil"/>
              </w:pBdr>
              <w:spacing w:after="200" w:line="276" w:lineRule="auto"/>
              <w:rPr>
                <w:rFonts w:ascii="Calibri" w:eastAsia="Calibri" w:hAnsi="Calibri" w:cs="Calibri"/>
                <w:color w:val="000000"/>
              </w:rPr>
            </w:pPr>
          </w:p>
          <w:p w14:paraId="77AD2543"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There are two types of liability. </w:t>
            </w:r>
          </w:p>
          <w:p w14:paraId="487B70FA" w14:textId="77777777" w:rsidR="002B6FD6" w:rsidRDefault="00000000">
            <w:pPr>
              <w:widowControl w:val="0"/>
              <w:numPr>
                <w:ilvl w:val="0"/>
                <w:numId w:val="5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What is official liability? It is agency liability or liability within your official capacity. </w:t>
            </w:r>
          </w:p>
          <w:p w14:paraId="42AA078E" w14:textId="77777777" w:rsidR="002B6FD6" w:rsidRDefault="00000000">
            <w:pPr>
              <w:widowControl w:val="0"/>
              <w:numPr>
                <w:ilvl w:val="0"/>
                <w:numId w:val="51"/>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Individual liability is personal. If it is found that you are liable, you pay.</w:t>
            </w:r>
          </w:p>
        </w:tc>
        <w:tc>
          <w:tcPr>
            <w:tcW w:w="1890" w:type="dxa"/>
            <w:tcBorders>
              <w:top w:val="single" w:sz="4" w:space="0" w:color="000000"/>
              <w:left w:val="single" w:sz="4" w:space="0" w:color="000000"/>
              <w:bottom w:val="single" w:sz="4" w:space="0" w:color="000000"/>
              <w:right w:val="single" w:sz="4" w:space="0" w:color="000000"/>
            </w:tcBorders>
          </w:tcPr>
          <w:p w14:paraId="0FF0992C"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AF11CFF" wp14:editId="1EF24120">
                  <wp:extent cx="508000" cy="342900"/>
                  <wp:effectExtent l="0" t="0" r="0" b="0"/>
                  <wp:docPr id="1057"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1C30E482"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Legal Framework</w:t>
            </w:r>
          </w:p>
          <w:p w14:paraId="1ABB198F"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36A42391" w14:textId="77777777">
        <w:tc>
          <w:tcPr>
            <w:tcW w:w="900" w:type="dxa"/>
            <w:tcBorders>
              <w:top w:val="single" w:sz="4" w:space="0" w:color="000000"/>
              <w:left w:val="single" w:sz="4" w:space="0" w:color="000000"/>
              <w:bottom w:val="single" w:sz="4" w:space="0" w:color="000000"/>
              <w:right w:val="single" w:sz="4" w:space="0" w:color="000000"/>
            </w:tcBorders>
          </w:tcPr>
          <w:p w14:paraId="4DD8B8DB"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E3876F6"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Legal Framework</w:t>
            </w:r>
          </w:p>
          <w:p w14:paraId="27388732"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EB91DF9" wp14:editId="2EBFBFE3">
                  <wp:extent cx="2804160" cy="2103120"/>
                  <wp:effectExtent l="38100" t="38100" r="38100" b="38100"/>
                  <wp:docPr id="10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3EA75C1C"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The question that is asked here is: What information did you have? Can you be held officially liable if you were not directly involved? Yes – through proximate cause. </w:t>
            </w:r>
          </w:p>
        </w:tc>
        <w:tc>
          <w:tcPr>
            <w:tcW w:w="1890" w:type="dxa"/>
            <w:tcBorders>
              <w:top w:val="single" w:sz="4" w:space="0" w:color="000000"/>
              <w:left w:val="single" w:sz="4" w:space="0" w:color="000000"/>
              <w:bottom w:val="single" w:sz="4" w:space="0" w:color="000000"/>
              <w:right w:val="single" w:sz="4" w:space="0" w:color="000000"/>
            </w:tcBorders>
          </w:tcPr>
          <w:p w14:paraId="35857AEF"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0D31268F" wp14:editId="31A0ED2E">
                  <wp:extent cx="508000" cy="342900"/>
                  <wp:effectExtent l="0" t="0" r="0" b="0"/>
                  <wp:docPr id="1059"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CC9F7B7"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Legal Framework</w:t>
            </w:r>
          </w:p>
          <w:p w14:paraId="4B311FF7"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1E53E22B" w14:textId="77777777">
        <w:trPr>
          <w:trHeight w:val="710"/>
        </w:trPr>
        <w:tc>
          <w:tcPr>
            <w:tcW w:w="900" w:type="dxa"/>
            <w:tcBorders>
              <w:top w:val="single" w:sz="4" w:space="0" w:color="000000"/>
              <w:left w:val="single" w:sz="4" w:space="0" w:color="000000"/>
              <w:bottom w:val="single" w:sz="4" w:space="0" w:color="000000"/>
              <w:right w:val="single" w:sz="4" w:space="0" w:color="000000"/>
            </w:tcBorders>
          </w:tcPr>
          <w:p w14:paraId="51F54D89"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4AAC7522"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Legal Framework</w:t>
            </w:r>
          </w:p>
          <w:p w14:paraId="55167690"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05B7BE27" wp14:editId="750699BC">
                  <wp:extent cx="2804160" cy="2103120"/>
                  <wp:effectExtent l="38100" t="38100" r="38100" b="38100"/>
                  <wp:docPr id="106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9CF4AA7" w14:textId="77777777" w:rsidR="002B6FD6" w:rsidRDefault="00000000">
            <w:pPr>
              <w:widowControl w:val="0"/>
              <w:spacing w:after="200" w:line="276" w:lineRule="auto"/>
              <w:rPr>
                <w:rFonts w:ascii="Calibri" w:eastAsia="Calibri" w:hAnsi="Calibri" w:cs="Calibri"/>
                <w:i/>
              </w:rPr>
            </w:pPr>
            <w:r>
              <w:rPr>
                <w:rFonts w:ascii="Calibri" w:eastAsia="Calibri" w:hAnsi="Calibri" w:cs="Calibri"/>
              </w:rPr>
              <w:t>This can result from your hiring someone who was not appropriately vetted or keeping someone employed who should have been fired.</w:t>
            </w:r>
          </w:p>
          <w:p w14:paraId="006FC86E" w14:textId="77777777" w:rsidR="002B6FD6" w:rsidRDefault="00000000">
            <w:pPr>
              <w:widowControl w:val="0"/>
              <w:numPr>
                <w:ilvl w:val="0"/>
                <w:numId w:val="52"/>
              </w:numPr>
              <w:pBdr>
                <w:top w:val="nil"/>
                <w:left w:val="nil"/>
                <w:bottom w:val="nil"/>
                <w:right w:val="nil"/>
                <w:between w:val="nil"/>
              </w:pBdr>
              <w:spacing w:line="276" w:lineRule="auto"/>
              <w:rPr>
                <w:rFonts w:ascii="Calibri" w:eastAsia="Calibri" w:hAnsi="Calibri" w:cs="Calibri"/>
                <w:i/>
                <w:color w:val="000000"/>
              </w:rPr>
            </w:pPr>
            <w:r>
              <w:rPr>
                <w:rFonts w:ascii="Calibri" w:eastAsia="Calibri" w:hAnsi="Calibri" w:cs="Calibri"/>
                <w:color w:val="000000"/>
              </w:rPr>
              <w:t xml:space="preserve">Some administrators will avoid firing someone </w:t>
            </w:r>
            <w:proofErr w:type="gramStart"/>
            <w:r>
              <w:rPr>
                <w:rFonts w:ascii="Calibri" w:eastAsia="Calibri" w:hAnsi="Calibri" w:cs="Calibri"/>
                <w:color w:val="000000"/>
              </w:rPr>
              <w:t>so as to</w:t>
            </w:r>
            <w:proofErr w:type="gramEnd"/>
            <w:r>
              <w:rPr>
                <w:rFonts w:ascii="Calibri" w:eastAsia="Calibri" w:hAnsi="Calibri" w:cs="Calibri"/>
                <w:color w:val="000000"/>
              </w:rPr>
              <w:t xml:space="preserve"> avoid being sued. It is better to be sued for firing someone than to be blamed </w:t>
            </w: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you did not fire that individual, and they perpetrated sexual abuse. </w:t>
            </w:r>
          </w:p>
          <w:p w14:paraId="5B68DCAE" w14:textId="77777777" w:rsidR="002B6FD6" w:rsidRDefault="00000000">
            <w:pPr>
              <w:widowControl w:val="0"/>
              <w:numPr>
                <w:ilvl w:val="0"/>
                <w:numId w:val="52"/>
              </w:numPr>
              <w:pBdr>
                <w:top w:val="nil"/>
                <w:left w:val="nil"/>
                <w:bottom w:val="nil"/>
                <w:right w:val="nil"/>
                <w:between w:val="nil"/>
              </w:pBdr>
              <w:spacing w:line="276" w:lineRule="auto"/>
              <w:rPr>
                <w:rFonts w:ascii="Calibri" w:eastAsia="Calibri" w:hAnsi="Calibri" w:cs="Calibri"/>
                <w:i/>
                <w:color w:val="000000"/>
              </w:rPr>
            </w:pPr>
            <w:r>
              <w:rPr>
                <w:rFonts w:ascii="Calibri" w:eastAsia="Calibri" w:hAnsi="Calibri" w:cs="Calibri"/>
                <w:color w:val="000000"/>
              </w:rPr>
              <w:t xml:space="preserve">The way to mitigate official liability is to pay attention to patterns or “red flags” and to be proactive rather than reactive. </w:t>
            </w:r>
          </w:p>
          <w:p w14:paraId="60E6EC4E" w14:textId="77777777" w:rsidR="002B6FD6" w:rsidRDefault="00000000">
            <w:pPr>
              <w:widowControl w:val="0"/>
              <w:numPr>
                <w:ilvl w:val="0"/>
                <w:numId w:val="52"/>
              </w:numPr>
              <w:pBdr>
                <w:top w:val="nil"/>
                <w:left w:val="nil"/>
                <w:bottom w:val="nil"/>
                <w:right w:val="nil"/>
                <w:between w:val="nil"/>
              </w:pBdr>
              <w:spacing w:after="200" w:line="276" w:lineRule="auto"/>
              <w:rPr>
                <w:rFonts w:ascii="Calibri" w:eastAsia="Calibri" w:hAnsi="Calibri" w:cs="Calibri"/>
                <w:i/>
                <w:color w:val="000000"/>
              </w:rPr>
            </w:pPr>
            <w:r>
              <w:rPr>
                <w:rFonts w:ascii="Calibri" w:eastAsia="Calibri" w:hAnsi="Calibri" w:cs="Calibri"/>
                <w:color w:val="000000"/>
              </w:rPr>
              <w:t>The more proactive you are and the more you follow personnel policies and the law, the less official liability there will be.</w:t>
            </w:r>
          </w:p>
        </w:tc>
        <w:tc>
          <w:tcPr>
            <w:tcW w:w="1890" w:type="dxa"/>
            <w:tcBorders>
              <w:top w:val="single" w:sz="4" w:space="0" w:color="000000"/>
              <w:left w:val="single" w:sz="4" w:space="0" w:color="000000"/>
              <w:bottom w:val="single" w:sz="4" w:space="0" w:color="000000"/>
              <w:right w:val="single" w:sz="4" w:space="0" w:color="000000"/>
            </w:tcBorders>
          </w:tcPr>
          <w:p w14:paraId="160463A0"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1944AAA6" wp14:editId="7A5364C3">
                  <wp:extent cx="508000" cy="342900"/>
                  <wp:effectExtent l="0" t="0" r="0" b="0"/>
                  <wp:docPr id="1061"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16EAB32"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Legal Framework</w:t>
            </w:r>
          </w:p>
          <w:p w14:paraId="4DAA6E3C"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4E56BFD1" w14:textId="77777777">
        <w:tc>
          <w:tcPr>
            <w:tcW w:w="900" w:type="dxa"/>
            <w:tcBorders>
              <w:top w:val="single" w:sz="4" w:space="0" w:color="000000"/>
              <w:left w:val="single" w:sz="4" w:space="0" w:color="000000"/>
              <w:bottom w:val="single" w:sz="4" w:space="0" w:color="000000"/>
              <w:right w:val="single" w:sz="4" w:space="0" w:color="000000"/>
            </w:tcBorders>
          </w:tcPr>
          <w:p w14:paraId="13185474"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276CAEE6"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Legal Framework</w:t>
            </w:r>
          </w:p>
          <w:p w14:paraId="0F7E6F58"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C4D9176" wp14:editId="76D2492F">
                  <wp:extent cx="2804160" cy="2103120"/>
                  <wp:effectExtent l="38100" t="38100" r="38100" b="38100"/>
                  <wp:docPr id="106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08248E2" w14:textId="77777777" w:rsidR="002B6FD6" w:rsidRDefault="002B6FD6">
            <w:pPr>
              <w:widowControl w:val="0"/>
              <w:pBdr>
                <w:top w:val="nil"/>
                <w:left w:val="nil"/>
                <w:bottom w:val="nil"/>
                <w:right w:val="nil"/>
                <w:between w:val="nil"/>
              </w:pBdr>
              <w:spacing w:after="200" w:line="276" w:lineRule="auto"/>
              <w:jc w:val="center"/>
              <w:rPr>
                <w:rFonts w:ascii="Calibri" w:eastAsia="Calibri" w:hAnsi="Calibri" w:cs="Calibri"/>
                <w:color w:val="000000"/>
              </w:rPr>
            </w:pPr>
          </w:p>
          <w:p w14:paraId="2132A546"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lastRenderedPageBreak/>
              <w:t xml:space="preserve">Policy is not enough. This agency had a great </w:t>
            </w:r>
            <w:proofErr w:type="gramStart"/>
            <w:r>
              <w:rPr>
                <w:rFonts w:ascii="Calibri" w:eastAsia="Calibri" w:hAnsi="Calibri" w:cs="Calibri"/>
              </w:rPr>
              <w:t>policy</w:t>
            </w:r>
            <w:proofErr w:type="gramEnd"/>
            <w:r>
              <w:rPr>
                <w:rFonts w:ascii="Calibri" w:eastAsia="Calibri" w:hAnsi="Calibri" w:cs="Calibri"/>
              </w:rPr>
              <w:t xml:space="preserve"> but they never trained </w:t>
            </w:r>
            <w:proofErr w:type="gramStart"/>
            <w:r>
              <w:rPr>
                <w:rFonts w:ascii="Calibri" w:eastAsia="Calibri" w:hAnsi="Calibri" w:cs="Calibri"/>
              </w:rPr>
              <w:t>on</w:t>
            </w:r>
            <w:proofErr w:type="gramEnd"/>
            <w:r>
              <w:rPr>
                <w:rFonts w:ascii="Calibri" w:eastAsia="Calibri" w:hAnsi="Calibri" w:cs="Calibri"/>
              </w:rPr>
              <w:t xml:space="preserve"> it. </w:t>
            </w:r>
          </w:p>
          <w:p w14:paraId="2EFB377D" w14:textId="77777777" w:rsidR="002B6FD6" w:rsidRDefault="00000000">
            <w:pPr>
              <w:widowControl w:val="0"/>
              <w:numPr>
                <w:ilvl w:val="0"/>
                <w:numId w:val="5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Having a policy in writing is a good start, but staff, contractors, and volunteers need to be trained on it. Minimally, they need to read it and sign it, showing it has been read and understood.  </w:t>
            </w:r>
          </w:p>
          <w:p w14:paraId="768C7935" w14:textId="77777777" w:rsidR="002B6FD6" w:rsidRDefault="00000000">
            <w:pPr>
              <w:widowControl w:val="0"/>
              <w:numPr>
                <w:ilvl w:val="0"/>
                <w:numId w:val="53"/>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Policy is not helpful unless something is done with it.</w:t>
            </w:r>
          </w:p>
        </w:tc>
        <w:tc>
          <w:tcPr>
            <w:tcW w:w="1890" w:type="dxa"/>
            <w:tcBorders>
              <w:top w:val="single" w:sz="4" w:space="0" w:color="000000"/>
              <w:left w:val="single" w:sz="4" w:space="0" w:color="000000"/>
              <w:bottom w:val="single" w:sz="4" w:space="0" w:color="000000"/>
              <w:right w:val="single" w:sz="4" w:space="0" w:color="000000"/>
            </w:tcBorders>
          </w:tcPr>
          <w:p w14:paraId="0612D0B2"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7C4E90DF" wp14:editId="6D18C481">
                  <wp:extent cx="508000" cy="342900"/>
                  <wp:effectExtent l="0" t="0" r="0" b="0"/>
                  <wp:docPr id="1063"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1ADCDDDC"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Legal Framework</w:t>
            </w:r>
          </w:p>
          <w:p w14:paraId="2638064F"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32BAED64" w14:textId="77777777">
        <w:tc>
          <w:tcPr>
            <w:tcW w:w="900" w:type="dxa"/>
            <w:tcBorders>
              <w:top w:val="single" w:sz="4" w:space="0" w:color="000000"/>
              <w:left w:val="single" w:sz="4" w:space="0" w:color="000000"/>
              <w:bottom w:val="single" w:sz="4" w:space="0" w:color="000000"/>
              <w:right w:val="single" w:sz="4" w:space="0" w:color="000000"/>
            </w:tcBorders>
          </w:tcPr>
          <w:p w14:paraId="71099AD3"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1885920E"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Legal Framework</w:t>
            </w:r>
          </w:p>
          <w:p w14:paraId="5740F13C"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A376EB0" wp14:editId="6B9E5071">
                  <wp:extent cx="2804160" cy="2103120"/>
                  <wp:effectExtent l="38100" t="38100" r="38100" b="38100"/>
                  <wp:docPr id="10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17375F1" w14:textId="77777777" w:rsidR="002B6FD6" w:rsidRDefault="00000000">
            <w:pPr>
              <w:widowControl w:val="0"/>
              <w:numPr>
                <w:ilvl w:val="0"/>
                <w:numId w:val="5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Usually, if you are sued, you </w:t>
            </w:r>
            <w:proofErr w:type="gramStart"/>
            <w:r>
              <w:rPr>
                <w:rFonts w:ascii="Calibri" w:eastAsia="Calibri" w:hAnsi="Calibri" w:cs="Calibri"/>
                <w:color w:val="000000"/>
              </w:rPr>
              <w:t>are  sued</w:t>
            </w:r>
            <w:proofErr w:type="gramEnd"/>
            <w:r>
              <w:rPr>
                <w:rFonts w:ascii="Calibri" w:eastAsia="Calibri" w:hAnsi="Calibri" w:cs="Calibri"/>
                <w:color w:val="000000"/>
              </w:rPr>
              <w:t xml:space="preserve"> in your official capacity. </w:t>
            </w:r>
          </w:p>
          <w:p w14:paraId="75809502" w14:textId="77777777" w:rsidR="002B6FD6" w:rsidRDefault="00000000">
            <w:pPr>
              <w:widowControl w:val="0"/>
              <w:numPr>
                <w:ilvl w:val="0"/>
                <w:numId w:val="54"/>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There is a </w:t>
            </w:r>
            <w:proofErr w:type="gramStart"/>
            <w:r>
              <w:rPr>
                <w:rFonts w:ascii="Calibri" w:eastAsia="Calibri" w:hAnsi="Calibri" w:cs="Calibri"/>
                <w:color w:val="000000"/>
              </w:rPr>
              <w:t>pretty high</w:t>
            </w:r>
            <w:proofErr w:type="gramEnd"/>
            <w:r>
              <w:rPr>
                <w:rFonts w:ascii="Calibri" w:eastAsia="Calibri" w:hAnsi="Calibri" w:cs="Calibri"/>
                <w:color w:val="000000"/>
              </w:rPr>
              <w:t xml:space="preserve"> standard for a finding of individual liability.</w:t>
            </w:r>
          </w:p>
        </w:tc>
        <w:tc>
          <w:tcPr>
            <w:tcW w:w="1890" w:type="dxa"/>
            <w:tcBorders>
              <w:top w:val="single" w:sz="4" w:space="0" w:color="000000"/>
              <w:left w:val="single" w:sz="4" w:space="0" w:color="000000"/>
              <w:bottom w:val="single" w:sz="4" w:space="0" w:color="000000"/>
              <w:right w:val="single" w:sz="4" w:space="0" w:color="000000"/>
            </w:tcBorders>
          </w:tcPr>
          <w:p w14:paraId="60E174AC" w14:textId="77777777" w:rsidR="002B6FD6" w:rsidRDefault="00000000">
            <w:pPr>
              <w:tabs>
                <w:tab w:val="left" w:pos="420"/>
                <w:tab w:val="center" w:pos="1062"/>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3380FE94" wp14:editId="76B35399">
                  <wp:extent cx="508000" cy="342900"/>
                  <wp:effectExtent l="0" t="0" r="0" b="0"/>
                  <wp:docPr id="1055"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445C992"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Legal Framework</w:t>
            </w:r>
          </w:p>
          <w:p w14:paraId="4452ACC5" w14:textId="77777777" w:rsidR="002B6FD6" w:rsidRDefault="002B6FD6">
            <w:pPr>
              <w:tabs>
                <w:tab w:val="left" w:pos="420"/>
                <w:tab w:val="center" w:pos="1062"/>
                <w:tab w:val="left" w:pos="7290"/>
              </w:tabs>
              <w:rPr>
                <w:rFonts w:ascii="Calibri" w:eastAsia="Calibri" w:hAnsi="Calibri" w:cs="Calibri"/>
                <w:sz w:val="20"/>
                <w:szCs w:val="20"/>
              </w:rPr>
            </w:pPr>
          </w:p>
        </w:tc>
      </w:tr>
      <w:tr w:rsidR="002B6FD6" w14:paraId="34F0D02E" w14:textId="77777777">
        <w:tc>
          <w:tcPr>
            <w:tcW w:w="900" w:type="dxa"/>
            <w:tcBorders>
              <w:top w:val="single" w:sz="4" w:space="0" w:color="000000"/>
              <w:left w:val="single" w:sz="4" w:space="0" w:color="000000"/>
              <w:bottom w:val="single" w:sz="4" w:space="0" w:color="000000"/>
              <w:right w:val="single" w:sz="4" w:space="0" w:color="000000"/>
            </w:tcBorders>
          </w:tcPr>
          <w:p w14:paraId="4831D76A"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3B21DF4A"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Riley v. Olk-Long, 282 F.3</w:t>
            </w:r>
            <w:r>
              <w:rPr>
                <w:rFonts w:ascii="Calibri" w:eastAsia="Calibri" w:hAnsi="Calibri" w:cs="Calibri"/>
                <w:b/>
                <w:color w:val="000000"/>
                <w:vertAlign w:val="superscript"/>
              </w:rPr>
              <w:t>rd</w:t>
            </w:r>
            <w:r>
              <w:rPr>
                <w:rFonts w:ascii="Calibri" w:eastAsia="Calibri" w:hAnsi="Calibri" w:cs="Calibri"/>
                <w:b/>
                <w:color w:val="000000"/>
              </w:rPr>
              <w:t xml:space="preserve"> 592 (8</w:t>
            </w:r>
            <w:r>
              <w:rPr>
                <w:rFonts w:ascii="Calibri" w:eastAsia="Calibri" w:hAnsi="Calibri" w:cs="Calibri"/>
                <w:b/>
                <w:color w:val="000000"/>
                <w:vertAlign w:val="superscript"/>
              </w:rPr>
              <w:t>th</w:t>
            </w:r>
            <w:r>
              <w:rPr>
                <w:rFonts w:ascii="Calibri" w:eastAsia="Calibri" w:hAnsi="Calibri" w:cs="Calibri"/>
                <w:b/>
                <w:color w:val="000000"/>
              </w:rPr>
              <w:t xml:space="preserve"> Cir. 2002)</w:t>
            </w:r>
          </w:p>
          <w:p w14:paraId="1D7FF54C"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589AFAA2" wp14:editId="4C8E01FA">
                  <wp:extent cx="2804160" cy="2103120"/>
                  <wp:effectExtent l="38100" t="38100" r="38100" b="38100"/>
                  <wp:docPr id="11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0F22F2A" w14:textId="77777777" w:rsidR="002B6FD6" w:rsidRDefault="00000000">
            <w:pPr>
              <w:widowControl w:val="0"/>
              <w:numPr>
                <w:ilvl w:val="0"/>
                <w:numId w:val="5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This case is out of Iowa and is a lawsuit against a warden and security director at a women’s facility.</w:t>
            </w:r>
          </w:p>
          <w:p w14:paraId="76082DD4" w14:textId="77777777" w:rsidR="002B6FD6" w:rsidRDefault="00000000">
            <w:pPr>
              <w:widowControl w:val="0"/>
              <w:numPr>
                <w:ilvl w:val="0"/>
                <w:numId w:val="55"/>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lastRenderedPageBreak/>
              <w:t xml:space="preserve">They were sued in both </w:t>
            </w:r>
            <w:r>
              <w:rPr>
                <w:rFonts w:ascii="Calibri" w:eastAsia="Calibri" w:hAnsi="Calibri" w:cs="Calibri"/>
                <w:color w:val="000000"/>
              </w:rPr>
              <w:t>their official and individual capacity and were found liable. The decision was upheld on appeal in 2002.</w:t>
            </w:r>
          </w:p>
        </w:tc>
        <w:tc>
          <w:tcPr>
            <w:tcW w:w="1890" w:type="dxa"/>
            <w:tcBorders>
              <w:top w:val="single" w:sz="4" w:space="0" w:color="000000"/>
              <w:left w:val="single" w:sz="4" w:space="0" w:color="000000"/>
              <w:bottom w:val="single" w:sz="4" w:space="0" w:color="000000"/>
              <w:right w:val="single" w:sz="4" w:space="0" w:color="000000"/>
            </w:tcBorders>
          </w:tcPr>
          <w:p w14:paraId="32D31A79"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7EEEA796" wp14:editId="24A0288B">
                  <wp:extent cx="508000" cy="342900"/>
                  <wp:effectExtent l="0" t="0" r="0" b="0"/>
                  <wp:docPr id="1103"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7AB628E"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Riley v. Olk-Long</w:t>
            </w:r>
          </w:p>
        </w:tc>
      </w:tr>
      <w:tr w:rsidR="002B6FD6" w14:paraId="0F88593B" w14:textId="77777777">
        <w:tc>
          <w:tcPr>
            <w:tcW w:w="900" w:type="dxa"/>
            <w:tcBorders>
              <w:top w:val="single" w:sz="4" w:space="0" w:color="000000"/>
              <w:left w:val="single" w:sz="4" w:space="0" w:color="000000"/>
              <w:bottom w:val="single" w:sz="4" w:space="0" w:color="000000"/>
              <w:right w:val="single" w:sz="4" w:space="0" w:color="000000"/>
            </w:tcBorders>
          </w:tcPr>
          <w:p w14:paraId="156F5273"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6ABAC22B"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Riley v. Olk-Long – What Happened?</w:t>
            </w:r>
          </w:p>
          <w:p w14:paraId="19B7D4E6"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2F402A7F" wp14:editId="4BAB2759">
                  <wp:extent cx="2804160" cy="2103120"/>
                  <wp:effectExtent l="38100" t="38100" r="38100" b="38100"/>
                  <wp:docPr id="110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3C6F36E6"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What happened? </w:t>
            </w:r>
          </w:p>
          <w:p w14:paraId="1199EA01" w14:textId="77777777" w:rsidR="002B6FD6" w:rsidRDefault="00000000">
            <w:pPr>
              <w:widowControl w:val="0"/>
              <w:numPr>
                <w:ilvl w:val="0"/>
                <w:numId w:val="2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 new inmate came into the facility, and a male officer started harassing her. </w:t>
            </w:r>
          </w:p>
          <w:p w14:paraId="58B2D0AC" w14:textId="77777777" w:rsidR="002B6FD6" w:rsidRDefault="00000000">
            <w:pPr>
              <w:widowControl w:val="0"/>
              <w:numPr>
                <w:ilvl w:val="0"/>
                <w:numId w:val="4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He started off with jokes about her having a lesbian relationship with her roommate. When she did not object to the jokes, he groped her and then waited to see what she did. </w:t>
            </w:r>
          </w:p>
          <w:p w14:paraId="5EFC4C0C" w14:textId="77777777" w:rsidR="002B6FD6" w:rsidRDefault="00000000">
            <w:pPr>
              <w:widowControl w:val="0"/>
              <w:numPr>
                <w:ilvl w:val="0"/>
                <w:numId w:val="4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When she did not report his behavior, he raped her.</w:t>
            </w:r>
          </w:p>
          <w:p w14:paraId="0FFE41FA" w14:textId="77777777" w:rsidR="002B6FD6" w:rsidRDefault="00000000">
            <w:pPr>
              <w:widowControl w:val="0"/>
              <w:numPr>
                <w:ilvl w:val="0"/>
                <w:numId w:val="45"/>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She also did not report the rape. However, there are no secrets in prison, and the rape became known and was reported by another inmate. </w:t>
            </w:r>
          </w:p>
          <w:p w14:paraId="35F66026"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So, why are the security director and the warden being held responsible?</w:t>
            </w:r>
          </w:p>
          <w:p w14:paraId="13FDD451" w14:textId="77777777" w:rsidR="00597CC3" w:rsidRDefault="00597CC3">
            <w:pPr>
              <w:widowControl w:val="0"/>
              <w:spacing w:after="200" w:line="276" w:lineRule="auto"/>
              <w:rPr>
                <w:rFonts w:ascii="Calibri" w:eastAsia="Calibri" w:hAnsi="Calibri" w:cs="Calibri"/>
              </w:rPr>
            </w:pPr>
          </w:p>
          <w:p w14:paraId="670ABE9D" w14:textId="77777777" w:rsidR="00597CC3" w:rsidRDefault="00597CC3">
            <w:pPr>
              <w:widowControl w:val="0"/>
              <w:spacing w:after="200" w:line="276" w:lineRule="auto"/>
              <w:rPr>
                <w:rFonts w:ascii="Calibri" w:eastAsia="Calibri" w:hAnsi="Calibri" w:cs="Calibri"/>
              </w:rPr>
            </w:pPr>
          </w:p>
          <w:p w14:paraId="78542EC6" w14:textId="77777777" w:rsidR="00597CC3" w:rsidRDefault="00597CC3">
            <w:pPr>
              <w:widowControl w:val="0"/>
              <w:spacing w:after="200" w:line="276" w:lineRule="auto"/>
              <w:rPr>
                <w:rFonts w:ascii="Calibri" w:eastAsia="Calibri" w:hAnsi="Calibri" w:cs="Calibri"/>
              </w:rPr>
            </w:pPr>
          </w:p>
          <w:p w14:paraId="3E6843DC" w14:textId="77777777" w:rsidR="00597CC3" w:rsidRDefault="00597CC3">
            <w:pPr>
              <w:widowControl w:val="0"/>
              <w:spacing w:after="200" w:line="276" w:lineRule="auto"/>
              <w:rPr>
                <w:rFonts w:ascii="Calibri" w:eastAsia="Calibri" w:hAnsi="Calibri" w:cs="Calibri"/>
              </w:rPr>
            </w:pPr>
          </w:p>
          <w:p w14:paraId="2835D097" w14:textId="77777777" w:rsidR="00597CC3" w:rsidRDefault="00597CC3">
            <w:pPr>
              <w:widowControl w:val="0"/>
              <w:spacing w:after="200" w:line="276" w:lineRule="auto"/>
              <w:rPr>
                <w:rFonts w:ascii="Calibri" w:eastAsia="Calibri" w:hAnsi="Calibri" w:cs="Calibri"/>
              </w:rPr>
            </w:pPr>
          </w:p>
        </w:tc>
        <w:tc>
          <w:tcPr>
            <w:tcW w:w="1890" w:type="dxa"/>
            <w:tcBorders>
              <w:top w:val="single" w:sz="4" w:space="0" w:color="000000"/>
              <w:left w:val="single" w:sz="4" w:space="0" w:color="000000"/>
              <w:bottom w:val="single" w:sz="4" w:space="0" w:color="000000"/>
              <w:right w:val="single" w:sz="4" w:space="0" w:color="000000"/>
            </w:tcBorders>
          </w:tcPr>
          <w:p w14:paraId="338FF03F"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001159AD" wp14:editId="34A9FB3E">
                  <wp:extent cx="508000" cy="342900"/>
                  <wp:effectExtent l="0" t="0" r="0" b="0"/>
                  <wp:docPr id="1105"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4006DFD"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Riley v. Olk-Long</w:t>
            </w:r>
          </w:p>
        </w:tc>
      </w:tr>
      <w:tr w:rsidR="002B6FD6" w14:paraId="67EE6F83" w14:textId="77777777">
        <w:tc>
          <w:tcPr>
            <w:tcW w:w="900" w:type="dxa"/>
            <w:tcBorders>
              <w:top w:val="single" w:sz="4" w:space="0" w:color="000000"/>
              <w:left w:val="single" w:sz="4" w:space="0" w:color="000000"/>
              <w:bottom w:val="single" w:sz="4" w:space="0" w:color="000000"/>
              <w:right w:val="single" w:sz="4" w:space="0" w:color="000000"/>
            </w:tcBorders>
          </w:tcPr>
          <w:p w14:paraId="7CD3E97F"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68B1AEC3"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Riley v. Olk-</w:t>
            </w:r>
            <w:proofErr w:type="gramStart"/>
            <w:r>
              <w:rPr>
                <w:rFonts w:ascii="Calibri" w:eastAsia="Calibri" w:hAnsi="Calibri" w:cs="Calibri"/>
                <w:b/>
                <w:color w:val="000000"/>
              </w:rPr>
              <w:t>Long  Why</w:t>
            </w:r>
            <w:proofErr w:type="gramEnd"/>
            <w:r>
              <w:rPr>
                <w:rFonts w:ascii="Calibri" w:eastAsia="Calibri" w:hAnsi="Calibri" w:cs="Calibri"/>
                <w:b/>
                <w:color w:val="000000"/>
              </w:rPr>
              <w:t xml:space="preserve"> Personal Liability?</w:t>
            </w:r>
          </w:p>
          <w:p w14:paraId="038A51F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7818589B" wp14:editId="590C2D0A">
                  <wp:extent cx="2804160" cy="2103120"/>
                  <wp:effectExtent l="38100" t="38100" r="38100" b="38100"/>
                  <wp:docPr id="110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C777CD8" w14:textId="77777777" w:rsidR="002B6FD6" w:rsidRDefault="00000000">
            <w:pPr>
              <w:widowControl w:val="0"/>
              <w:numPr>
                <w:ilvl w:val="0"/>
                <w:numId w:val="4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There had been previous complaints about the officer’s past behavior.</w:t>
            </w:r>
          </w:p>
          <w:p w14:paraId="3EFD5DEF" w14:textId="77777777" w:rsidR="002B6FD6" w:rsidRDefault="00000000">
            <w:pPr>
              <w:widowControl w:val="0"/>
              <w:numPr>
                <w:ilvl w:val="0"/>
                <w:numId w:val="4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It is debatable whether there was enough evidence in the past to fire him, but there </w:t>
            </w:r>
            <w:proofErr w:type="gramStart"/>
            <w:r>
              <w:rPr>
                <w:rFonts w:ascii="Calibri" w:eastAsia="Calibri" w:hAnsi="Calibri" w:cs="Calibri"/>
                <w:color w:val="000000"/>
              </w:rPr>
              <w:t>had</w:t>
            </w:r>
            <w:proofErr w:type="gramEnd"/>
            <w:r>
              <w:rPr>
                <w:rFonts w:ascii="Calibri" w:eastAsia="Calibri" w:hAnsi="Calibri" w:cs="Calibri"/>
                <w:color w:val="000000"/>
              </w:rPr>
              <w:t xml:space="preserve"> been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(mostly inconclusive) investigations. </w:t>
            </w:r>
          </w:p>
          <w:p w14:paraId="19097038" w14:textId="77777777" w:rsidR="002B6FD6" w:rsidRDefault="00000000">
            <w:pPr>
              <w:widowControl w:val="0"/>
              <w:numPr>
                <w:ilvl w:val="0"/>
                <w:numId w:val="4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problem was that a collective bargaining agreement required the facility to move someone under investigation only for a specific and limited </w:t>
            </w:r>
            <w:proofErr w:type="gramStart"/>
            <w:r>
              <w:rPr>
                <w:rFonts w:ascii="Calibri" w:eastAsia="Calibri" w:hAnsi="Calibri" w:cs="Calibri"/>
                <w:color w:val="000000"/>
              </w:rPr>
              <w:t>period of time</w:t>
            </w:r>
            <w:proofErr w:type="gramEnd"/>
            <w:r>
              <w:rPr>
                <w:rFonts w:ascii="Calibri" w:eastAsia="Calibri" w:hAnsi="Calibri" w:cs="Calibri"/>
                <w:color w:val="000000"/>
              </w:rPr>
              <w:t xml:space="preserve">. </w:t>
            </w:r>
          </w:p>
          <w:p w14:paraId="1A22D862" w14:textId="77777777" w:rsidR="002B6FD6" w:rsidRDefault="00000000">
            <w:pPr>
              <w:widowControl w:val="0"/>
              <w:numPr>
                <w:ilvl w:val="0"/>
                <w:numId w:val="46"/>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So, </w:t>
            </w:r>
            <w:proofErr w:type="gramStart"/>
            <w:r>
              <w:rPr>
                <w:rFonts w:ascii="Calibri" w:eastAsia="Calibri" w:hAnsi="Calibri" w:cs="Calibri"/>
                <w:color w:val="000000"/>
              </w:rPr>
              <w:t>despite the fact that</w:t>
            </w:r>
            <w:proofErr w:type="gramEnd"/>
            <w:r>
              <w:rPr>
                <w:rFonts w:ascii="Calibri" w:eastAsia="Calibri" w:hAnsi="Calibri" w:cs="Calibri"/>
                <w:color w:val="000000"/>
              </w:rPr>
              <w:t xml:space="preserve"> the officer was actually under investigation at the time of the sexual abuse, he continued to work in the housing unit. </w:t>
            </w:r>
          </w:p>
        </w:tc>
        <w:tc>
          <w:tcPr>
            <w:tcW w:w="1890" w:type="dxa"/>
            <w:tcBorders>
              <w:top w:val="single" w:sz="4" w:space="0" w:color="000000"/>
              <w:left w:val="single" w:sz="4" w:space="0" w:color="000000"/>
              <w:bottom w:val="single" w:sz="4" w:space="0" w:color="000000"/>
              <w:right w:val="single" w:sz="4" w:space="0" w:color="000000"/>
            </w:tcBorders>
          </w:tcPr>
          <w:p w14:paraId="45D3D861"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4328C6DA" wp14:editId="0E617A75">
                  <wp:extent cx="508000" cy="342900"/>
                  <wp:effectExtent l="0" t="0" r="0" b="0"/>
                  <wp:docPr id="1109"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B20E497"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Riley v. Olk-Long</w:t>
            </w:r>
          </w:p>
        </w:tc>
      </w:tr>
      <w:tr w:rsidR="002B6FD6" w14:paraId="5F7A9D02" w14:textId="77777777">
        <w:tc>
          <w:tcPr>
            <w:tcW w:w="900" w:type="dxa"/>
            <w:tcBorders>
              <w:top w:val="single" w:sz="4" w:space="0" w:color="000000"/>
              <w:left w:val="single" w:sz="4" w:space="0" w:color="000000"/>
              <w:bottom w:val="single" w:sz="4" w:space="0" w:color="000000"/>
              <w:right w:val="single" w:sz="4" w:space="0" w:color="000000"/>
            </w:tcBorders>
          </w:tcPr>
          <w:p w14:paraId="4138DBC4"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3D53CC9D"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Riley v. Olk-Long – Court Decision</w:t>
            </w:r>
          </w:p>
          <w:p w14:paraId="52DD77C7"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CA38523" wp14:editId="3837771E">
                  <wp:extent cx="2804160" cy="2103120"/>
                  <wp:effectExtent l="38100" t="38100" r="38100" b="38100"/>
                  <wp:docPr id="11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548F7D8"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The court found that: </w:t>
            </w:r>
          </w:p>
          <w:p w14:paraId="2B58D82F" w14:textId="77777777" w:rsidR="002B6FD6" w:rsidRDefault="00000000">
            <w:pPr>
              <w:widowControl w:val="0"/>
              <w:numPr>
                <w:ilvl w:val="0"/>
                <w:numId w:val="2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lastRenderedPageBreak/>
              <w:t xml:space="preserve">The officer should have been fired or kept away from the inmates. </w:t>
            </w:r>
          </w:p>
          <w:p w14:paraId="0A6A5E31" w14:textId="77777777" w:rsidR="002B6FD6" w:rsidRDefault="00000000">
            <w:pPr>
              <w:widowControl w:val="0"/>
              <w:numPr>
                <w:ilvl w:val="0"/>
                <w:numId w:val="4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 collective bargaining agreement is not an excuse. You cannot bargain away someone’s constitutional rights. </w:t>
            </w:r>
          </w:p>
          <w:p w14:paraId="2DAC2C7C" w14:textId="77777777" w:rsidR="002B6FD6" w:rsidRDefault="00000000">
            <w:pPr>
              <w:widowControl w:val="0"/>
              <w:numPr>
                <w:ilvl w:val="0"/>
                <w:numId w:val="47"/>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If the officer was constantly under investigation without allegations ever being substantiated, there might be a problem with the investigation process. </w:t>
            </w:r>
          </w:p>
        </w:tc>
        <w:tc>
          <w:tcPr>
            <w:tcW w:w="1890" w:type="dxa"/>
            <w:tcBorders>
              <w:top w:val="single" w:sz="4" w:space="0" w:color="000000"/>
              <w:left w:val="single" w:sz="4" w:space="0" w:color="000000"/>
              <w:bottom w:val="single" w:sz="4" w:space="0" w:color="000000"/>
              <w:right w:val="single" w:sz="4" w:space="0" w:color="000000"/>
            </w:tcBorders>
          </w:tcPr>
          <w:p w14:paraId="41334ABE"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42E186DA" wp14:editId="60FF2193">
                  <wp:extent cx="508000" cy="342900"/>
                  <wp:effectExtent l="0" t="0" r="0" b="0"/>
                  <wp:docPr id="1113"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7C72F9E"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Riley v. Olk-Long</w:t>
            </w:r>
          </w:p>
        </w:tc>
      </w:tr>
      <w:tr w:rsidR="002B6FD6" w14:paraId="70D15963" w14:textId="77777777">
        <w:tc>
          <w:tcPr>
            <w:tcW w:w="900" w:type="dxa"/>
            <w:tcBorders>
              <w:top w:val="single" w:sz="4" w:space="0" w:color="000000"/>
              <w:left w:val="single" w:sz="4" w:space="0" w:color="000000"/>
              <w:bottom w:val="single" w:sz="4" w:space="0" w:color="000000"/>
              <w:right w:val="single" w:sz="4" w:space="0" w:color="000000"/>
            </w:tcBorders>
          </w:tcPr>
          <w:p w14:paraId="7DE6430B"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5A6FDBA"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Ortiz v. Jordan (S.CT. 1/24/11)</w:t>
            </w:r>
          </w:p>
          <w:p w14:paraId="72607E71"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36B7F013" wp14:editId="4981E36A">
                  <wp:extent cx="2804160" cy="2103120"/>
                  <wp:effectExtent l="38100" t="38100" r="38100" b="38100"/>
                  <wp:docPr id="109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ADFA5E4"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The female inmate in this case brought both a 4</w:t>
            </w:r>
            <w:r>
              <w:rPr>
                <w:rFonts w:ascii="Calibri" w:eastAsia="Calibri" w:hAnsi="Calibri" w:cs="Calibri"/>
                <w:vertAlign w:val="superscript"/>
              </w:rPr>
              <w:t>th</w:t>
            </w:r>
            <w:r>
              <w:rPr>
                <w:rFonts w:ascii="Calibri" w:eastAsia="Calibri" w:hAnsi="Calibri" w:cs="Calibri"/>
              </w:rPr>
              <w:t xml:space="preserve"> Amendment and 8</w:t>
            </w:r>
            <w:r>
              <w:rPr>
                <w:rFonts w:ascii="Calibri" w:eastAsia="Calibri" w:hAnsi="Calibri" w:cs="Calibri"/>
                <w:vertAlign w:val="superscript"/>
              </w:rPr>
              <w:t>th</w:t>
            </w:r>
            <w:r>
              <w:rPr>
                <w:rFonts w:ascii="Calibri" w:eastAsia="Calibri" w:hAnsi="Calibri" w:cs="Calibri"/>
              </w:rPr>
              <w:t xml:space="preserve"> Amendment claim against the agency. What happened? </w:t>
            </w:r>
          </w:p>
          <w:p w14:paraId="70EC0AF2" w14:textId="77777777" w:rsidR="002B6FD6" w:rsidRDefault="00000000">
            <w:pPr>
              <w:widowControl w:val="0"/>
              <w:numPr>
                <w:ilvl w:val="0"/>
                <w:numId w:val="43"/>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rPr>
              <w:t xml:space="preserve">The inmate was groped and reported the incident. </w:t>
            </w:r>
          </w:p>
          <w:p w14:paraId="2A6CCE24" w14:textId="77777777" w:rsidR="002B6FD6" w:rsidRDefault="00000000">
            <w:pPr>
              <w:widowControl w:val="0"/>
              <w:numPr>
                <w:ilvl w:val="0"/>
                <w:numId w:val="48"/>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rPr>
              <w:t xml:space="preserve">Instead of reporting it and removing the inmate from contact with the officer, her case manager told her that it was the officer’s last day and that she should wait it out. </w:t>
            </w:r>
          </w:p>
          <w:p w14:paraId="3C42C85E" w14:textId="77777777" w:rsidR="002B6FD6" w:rsidRPr="00597CC3" w:rsidRDefault="00000000">
            <w:pPr>
              <w:widowControl w:val="0"/>
              <w:numPr>
                <w:ilvl w:val="0"/>
                <w:numId w:val="48"/>
              </w:num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 xml:space="preserve">The inmate was sexually </w:t>
            </w:r>
            <w:r>
              <w:rPr>
                <w:rFonts w:ascii="Calibri" w:eastAsia="Calibri" w:hAnsi="Calibri" w:cs="Calibri"/>
                <w:color w:val="000000"/>
              </w:rPr>
              <w:t>assaulted later that same day.</w:t>
            </w:r>
          </w:p>
          <w:p w14:paraId="4A5E6D24" w14:textId="77777777" w:rsidR="00597CC3" w:rsidRDefault="00597CC3" w:rsidP="00597CC3">
            <w:pPr>
              <w:widowControl w:val="0"/>
              <w:pBdr>
                <w:top w:val="nil"/>
                <w:left w:val="nil"/>
                <w:bottom w:val="nil"/>
                <w:right w:val="nil"/>
                <w:between w:val="nil"/>
              </w:pBdr>
              <w:spacing w:after="200" w:line="276" w:lineRule="auto"/>
              <w:ind w:left="720"/>
              <w:rPr>
                <w:rFonts w:ascii="Calibri" w:eastAsia="Calibri" w:hAnsi="Calibri" w:cs="Calibri"/>
                <w:color w:val="000000"/>
              </w:rPr>
            </w:pPr>
          </w:p>
          <w:p w14:paraId="1478BA59" w14:textId="77777777" w:rsidR="00597CC3" w:rsidRDefault="00597CC3" w:rsidP="00597CC3">
            <w:pPr>
              <w:widowControl w:val="0"/>
              <w:pBdr>
                <w:top w:val="nil"/>
                <w:left w:val="nil"/>
                <w:bottom w:val="nil"/>
                <w:right w:val="nil"/>
                <w:between w:val="nil"/>
              </w:pBdr>
              <w:spacing w:after="200" w:line="276" w:lineRule="auto"/>
              <w:ind w:left="720"/>
              <w:rPr>
                <w:rFonts w:ascii="Calibri" w:eastAsia="Calibri" w:hAnsi="Calibri" w:cs="Calibri"/>
                <w:color w:val="000000"/>
              </w:rPr>
            </w:pPr>
          </w:p>
          <w:p w14:paraId="4AAE8A66" w14:textId="77777777" w:rsidR="00597CC3" w:rsidRDefault="00597CC3" w:rsidP="00597CC3">
            <w:pPr>
              <w:widowControl w:val="0"/>
              <w:pBdr>
                <w:top w:val="nil"/>
                <w:left w:val="nil"/>
                <w:bottom w:val="nil"/>
                <w:right w:val="nil"/>
                <w:between w:val="nil"/>
              </w:pBdr>
              <w:spacing w:after="200" w:line="276" w:lineRule="auto"/>
              <w:ind w:left="720"/>
              <w:rPr>
                <w:rFonts w:ascii="Calibri" w:eastAsia="Calibri" w:hAnsi="Calibri" w:cs="Calibri"/>
                <w:color w:val="000000"/>
              </w:rPr>
            </w:pPr>
          </w:p>
          <w:p w14:paraId="14EFE76B" w14:textId="77777777" w:rsidR="00597CC3" w:rsidRDefault="00597CC3" w:rsidP="00597CC3">
            <w:pPr>
              <w:widowControl w:val="0"/>
              <w:pBdr>
                <w:top w:val="nil"/>
                <w:left w:val="nil"/>
                <w:bottom w:val="nil"/>
                <w:right w:val="nil"/>
                <w:between w:val="nil"/>
              </w:pBdr>
              <w:spacing w:after="200" w:line="276" w:lineRule="auto"/>
              <w:ind w:left="720"/>
              <w:rPr>
                <w:rFonts w:ascii="Calibri" w:eastAsia="Calibri" w:hAnsi="Calibri" w:cs="Calibri"/>
                <w:color w:val="000000"/>
              </w:rPr>
            </w:pPr>
          </w:p>
          <w:p w14:paraId="2398621F" w14:textId="77777777" w:rsidR="00597CC3" w:rsidRDefault="00597CC3" w:rsidP="00597CC3">
            <w:pPr>
              <w:widowControl w:val="0"/>
              <w:pBdr>
                <w:top w:val="nil"/>
                <w:left w:val="nil"/>
                <w:bottom w:val="nil"/>
                <w:right w:val="nil"/>
                <w:between w:val="nil"/>
              </w:pBdr>
              <w:spacing w:after="200" w:line="276" w:lineRule="auto"/>
              <w:ind w:left="720"/>
              <w:rPr>
                <w:rFonts w:ascii="Calibri" w:eastAsia="Calibri" w:hAnsi="Calibri" w:cs="Calibri"/>
                <w:color w:val="000000"/>
              </w:rPr>
            </w:pPr>
          </w:p>
          <w:p w14:paraId="2B2D0808" w14:textId="77777777" w:rsidR="00597CC3" w:rsidRDefault="00597CC3" w:rsidP="00597CC3">
            <w:pPr>
              <w:widowControl w:val="0"/>
              <w:pBdr>
                <w:top w:val="nil"/>
                <w:left w:val="nil"/>
                <w:bottom w:val="nil"/>
                <w:right w:val="nil"/>
                <w:between w:val="nil"/>
              </w:pBdr>
              <w:spacing w:after="200" w:line="276" w:lineRule="auto"/>
              <w:ind w:left="720"/>
              <w:rPr>
                <w:rFonts w:ascii="Calibri" w:eastAsia="Calibri" w:hAnsi="Calibri" w:cs="Calibri"/>
                <w:b/>
                <w:color w:val="000000"/>
              </w:rPr>
            </w:pPr>
          </w:p>
        </w:tc>
        <w:tc>
          <w:tcPr>
            <w:tcW w:w="1890" w:type="dxa"/>
            <w:tcBorders>
              <w:top w:val="single" w:sz="4" w:space="0" w:color="000000"/>
              <w:left w:val="single" w:sz="4" w:space="0" w:color="000000"/>
              <w:bottom w:val="single" w:sz="4" w:space="0" w:color="000000"/>
              <w:right w:val="single" w:sz="4" w:space="0" w:color="000000"/>
            </w:tcBorders>
          </w:tcPr>
          <w:p w14:paraId="7999E349"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noProof/>
                <w:sz w:val="20"/>
                <w:szCs w:val="20"/>
              </w:rPr>
              <w:drawing>
                <wp:inline distT="0" distB="0" distL="0" distR="0" wp14:anchorId="16FE4389" wp14:editId="33719312">
                  <wp:extent cx="508000" cy="342900"/>
                  <wp:effectExtent l="0" t="0" r="0" b="0"/>
                  <wp:docPr id="109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1FB15332"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Ortiz v. Jordan</w:t>
            </w:r>
          </w:p>
        </w:tc>
      </w:tr>
      <w:tr w:rsidR="002B6FD6" w14:paraId="0E0CE671" w14:textId="77777777">
        <w:tc>
          <w:tcPr>
            <w:tcW w:w="900" w:type="dxa"/>
            <w:tcBorders>
              <w:top w:val="single" w:sz="4" w:space="0" w:color="000000"/>
              <w:left w:val="single" w:sz="4" w:space="0" w:color="000000"/>
              <w:bottom w:val="single" w:sz="4" w:space="0" w:color="000000"/>
              <w:right w:val="single" w:sz="4" w:space="0" w:color="000000"/>
            </w:tcBorders>
          </w:tcPr>
          <w:p w14:paraId="2A5F1BF5"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1DC05C8C"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Ortiz v. Jordan (S.CT. 1/24/11)</w:t>
            </w:r>
          </w:p>
          <w:p w14:paraId="77AB38D4"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2723EB23" wp14:editId="28007023">
                  <wp:extent cx="2804160" cy="2103120"/>
                  <wp:effectExtent l="38100" t="38100" r="38100" b="38100"/>
                  <wp:docPr id="109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EB01246" w14:textId="77777777" w:rsidR="002B6FD6" w:rsidRDefault="002B6FD6">
            <w:pPr>
              <w:widowControl w:val="0"/>
              <w:pBdr>
                <w:top w:val="nil"/>
                <w:left w:val="nil"/>
                <w:bottom w:val="nil"/>
                <w:right w:val="nil"/>
                <w:between w:val="nil"/>
              </w:pBdr>
              <w:spacing w:line="276" w:lineRule="auto"/>
              <w:jc w:val="center"/>
              <w:rPr>
                <w:rFonts w:ascii="Calibri" w:eastAsia="Calibri" w:hAnsi="Calibri" w:cs="Calibri"/>
                <w:color w:val="000000"/>
              </w:rPr>
            </w:pPr>
          </w:p>
          <w:p w14:paraId="43BA11F9" w14:textId="77777777" w:rsidR="002B6FD6" w:rsidRDefault="00000000">
            <w:pPr>
              <w:widowControl w:val="0"/>
              <w:numPr>
                <w:ilvl w:val="0"/>
                <w:numId w:val="49"/>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rPr>
              <w:t xml:space="preserve">After the assault, the case manager waited two days to write an incident report and falsely stated that the inmate would not name the perpetrator. </w:t>
            </w:r>
          </w:p>
          <w:p w14:paraId="545051C0" w14:textId="77777777" w:rsidR="002B6FD6" w:rsidRDefault="00000000">
            <w:pPr>
              <w:widowControl w:val="0"/>
              <w:numPr>
                <w:ilvl w:val="0"/>
                <w:numId w:val="49"/>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rPr>
              <w:t>The investigation was also unnecessarily delayed and did not start until two days after the incident.</w:t>
            </w:r>
          </w:p>
          <w:p w14:paraId="285D19DA" w14:textId="77777777" w:rsidR="002B6FD6" w:rsidRDefault="00000000">
            <w:pPr>
              <w:widowControl w:val="0"/>
              <w:numPr>
                <w:ilvl w:val="0"/>
                <w:numId w:val="49"/>
              </w:num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Once the investigation began, the inmate was put in solitary confinement, which was seen as retaliatory since she had been in general population for two days after the incident without problems.</w:t>
            </w:r>
          </w:p>
        </w:tc>
        <w:tc>
          <w:tcPr>
            <w:tcW w:w="1890" w:type="dxa"/>
            <w:tcBorders>
              <w:top w:val="single" w:sz="4" w:space="0" w:color="000000"/>
              <w:left w:val="single" w:sz="4" w:space="0" w:color="000000"/>
              <w:bottom w:val="single" w:sz="4" w:space="0" w:color="000000"/>
              <w:right w:val="single" w:sz="4" w:space="0" w:color="000000"/>
            </w:tcBorders>
          </w:tcPr>
          <w:p w14:paraId="16B597A4"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noProof/>
                <w:sz w:val="20"/>
                <w:szCs w:val="20"/>
              </w:rPr>
              <w:drawing>
                <wp:inline distT="0" distB="0" distL="0" distR="0" wp14:anchorId="33DAC110" wp14:editId="6A2D4E30">
                  <wp:extent cx="508000" cy="342900"/>
                  <wp:effectExtent l="0" t="0" r="0" b="0"/>
                  <wp:docPr id="108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F872114"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Ortiz v. Jordan</w:t>
            </w:r>
          </w:p>
        </w:tc>
      </w:tr>
      <w:tr w:rsidR="002B6FD6" w14:paraId="42E953DB" w14:textId="77777777">
        <w:tc>
          <w:tcPr>
            <w:tcW w:w="900" w:type="dxa"/>
            <w:tcBorders>
              <w:top w:val="single" w:sz="4" w:space="0" w:color="000000"/>
              <w:left w:val="single" w:sz="4" w:space="0" w:color="000000"/>
              <w:bottom w:val="single" w:sz="4" w:space="0" w:color="000000"/>
              <w:right w:val="single" w:sz="4" w:space="0" w:color="000000"/>
            </w:tcBorders>
          </w:tcPr>
          <w:p w14:paraId="1FF13F4A"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515C33E"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Ortiz v. Jordan (S.CT. 1/24/11)</w:t>
            </w:r>
          </w:p>
          <w:p w14:paraId="2EEFCE55" w14:textId="77777777" w:rsidR="002B6FD6" w:rsidRDefault="00000000">
            <w:pPr>
              <w:widowControl w:val="0"/>
              <w:pBdr>
                <w:top w:val="nil"/>
                <w:left w:val="nil"/>
                <w:bottom w:val="nil"/>
                <w:right w:val="nil"/>
                <w:between w:val="nil"/>
              </w:pBdr>
              <w:tabs>
                <w:tab w:val="left" w:pos="900"/>
              </w:tabs>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71D7D4C" wp14:editId="715CC218">
                  <wp:extent cx="2804158" cy="2103120"/>
                  <wp:effectExtent l="38100" t="38100" r="38100" b="38100"/>
                  <wp:docPr id="10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9"/>
                          <a:srcRect/>
                          <a:stretch>
                            <a:fillRect/>
                          </a:stretch>
                        </pic:blipFill>
                        <pic:spPr>
                          <a:xfrm>
                            <a:off x="0" y="0"/>
                            <a:ext cx="2804158" cy="2103120"/>
                          </a:xfrm>
                          <a:prstGeom prst="rect">
                            <a:avLst/>
                          </a:prstGeom>
                          <a:ln w="38100">
                            <a:solidFill>
                              <a:srgbClr val="000000"/>
                            </a:solidFill>
                            <a:prstDash val="solid"/>
                          </a:ln>
                        </pic:spPr>
                      </pic:pic>
                    </a:graphicData>
                  </a:graphic>
                </wp:inline>
              </w:drawing>
            </w:r>
          </w:p>
          <w:p w14:paraId="16B874FD"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The verdict returned by the jury held both the case manager and the investigator personally liable. </w:t>
            </w:r>
          </w:p>
          <w:p w14:paraId="40CB5E2F" w14:textId="77777777" w:rsidR="00597CC3" w:rsidRDefault="00597CC3">
            <w:pPr>
              <w:widowControl w:val="0"/>
              <w:spacing w:after="200" w:line="276" w:lineRule="auto"/>
              <w:rPr>
                <w:rFonts w:ascii="Calibri" w:eastAsia="Calibri" w:hAnsi="Calibri" w:cs="Calibri"/>
                <w:b/>
              </w:rPr>
            </w:pPr>
          </w:p>
        </w:tc>
        <w:tc>
          <w:tcPr>
            <w:tcW w:w="1890" w:type="dxa"/>
            <w:tcBorders>
              <w:top w:val="single" w:sz="4" w:space="0" w:color="000000"/>
              <w:left w:val="single" w:sz="4" w:space="0" w:color="000000"/>
              <w:bottom w:val="single" w:sz="4" w:space="0" w:color="000000"/>
              <w:right w:val="single" w:sz="4" w:space="0" w:color="000000"/>
            </w:tcBorders>
          </w:tcPr>
          <w:p w14:paraId="54E8F99B"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noProof/>
                <w:sz w:val="20"/>
                <w:szCs w:val="20"/>
              </w:rPr>
              <w:drawing>
                <wp:inline distT="0" distB="0" distL="0" distR="0" wp14:anchorId="0E8F0BBB" wp14:editId="20C1C5E6">
                  <wp:extent cx="508000" cy="342900"/>
                  <wp:effectExtent l="0" t="0" r="0" b="0"/>
                  <wp:docPr id="108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08BC828F"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Ortiz v. Jordan</w:t>
            </w:r>
          </w:p>
        </w:tc>
      </w:tr>
      <w:tr w:rsidR="002B6FD6" w14:paraId="4DD349A2" w14:textId="77777777">
        <w:tc>
          <w:tcPr>
            <w:tcW w:w="900" w:type="dxa"/>
            <w:tcBorders>
              <w:top w:val="single" w:sz="4" w:space="0" w:color="000000"/>
              <w:left w:val="single" w:sz="4" w:space="0" w:color="000000"/>
              <w:bottom w:val="single" w:sz="4" w:space="0" w:color="000000"/>
              <w:right w:val="single" w:sz="4" w:space="0" w:color="000000"/>
            </w:tcBorders>
          </w:tcPr>
          <w:p w14:paraId="0C42E356"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7D18077F"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Gonzales v. Martinez, 403 F.3d 1179 (10</w:t>
            </w:r>
            <w:r>
              <w:rPr>
                <w:rFonts w:ascii="Calibri" w:eastAsia="Calibri" w:hAnsi="Calibri" w:cs="Calibri"/>
                <w:b/>
                <w:color w:val="000000"/>
                <w:vertAlign w:val="superscript"/>
              </w:rPr>
              <w:t>th</w:t>
            </w:r>
            <w:r>
              <w:rPr>
                <w:rFonts w:ascii="Calibri" w:eastAsia="Calibri" w:hAnsi="Calibri" w:cs="Calibri"/>
                <w:b/>
                <w:color w:val="000000"/>
              </w:rPr>
              <w:t xml:space="preserve"> Cir. 2005)</w:t>
            </w:r>
          </w:p>
          <w:p w14:paraId="1DE48841"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4D1CE8A" wp14:editId="3FED50A3">
                  <wp:extent cx="2804160" cy="2103120"/>
                  <wp:effectExtent l="38100" t="38100" r="38100" b="38100"/>
                  <wp:docPr id="109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34BD57E"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This case addresses what top administrators should know.</w:t>
            </w:r>
          </w:p>
          <w:p w14:paraId="6F4A1F3B" w14:textId="77777777" w:rsidR="002B6FD6" w:rsidRDefault="00000000">
            <w:pPr>
              <w:widowControl w:val="0"/>
              <w:numPr>
                <w:ilvl w:val="0"/>
                <w:numId w:val="50"/>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A sheriff’s son-in-law had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allegations made against him. The sheriff did not respond appropriately and was held accountable. </w:t>
            </w:r>
          </w:p>
        </w:tc>
        <w:tc>
          <w:tcPr>
            <w:tcW w:w="1890" w:type="dxa"/>
            <w:tcBorders>
              <w:top w:val="single" w:sz="4" w:space="0" w:color="000000"/>
              <w:left w:val="single" w:sz="4" w:space="0" w:color="000000"/>
              <w:bottom w:val="single" w:sz="4" w:space="0" w:color="000000"/>
              <w:right w:val="single" w:sz="4" w:space="0" w:color="000000"/>
            </w:tcBorders>
          </w:tcPr>
          <w:p w14:paraId="099D202F"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0E3B4227" wp14:editId="126589D8">
                  <wp:extent cx="508000" cy="342900"/>
                  <wp:effectExtent l="0" t="0" r="0" b="0"/>
                  <wp:docPr id="109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BE86764"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Gonzales v. Martinez</w:t>
            </w:r>
          </w:p>
        </w:tc>
      </w:tr>
      <w:tr w:rsidR="002B6FD6" w14:paraId="2879E46B" w14:textId="77777777">
        <w:tc>
          <w:tcPr>
            <w:tcW w:w="900" w:type="dxa"/>
            <w:tcBorders>
              <w:top w:val="single" w:sz="4" w:space="0" w:color="000000"/>
              <w:left w:val="single" w:sz="4" w:space="0" w:color="000000"/>
              <w:bottom w:val="single" w:sz="4" w:space="0" w:color="000000"/>
              <w:right w:val="single" w:sz="4" w:space="0" w:color="000000"/>
            </w:tcBorders>
          </w:tcPr>
          <w:p w14:paraId="3DBCB1AE"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AF9344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 xml:space="preserve">Gonzales v. Martinez – </w:t>
            </w:r>
            <w:r>
              <w:rPr>
                <w:rFonts w:ascii="Calibri" w:eastAsia="Calibri" w:hAnsi="Calibri" w:cs="Calibri"/>
                <w:b/>
                <w:color w:val="000000"/>
              </w:rPr>
              <w:br/>
              <w:t>Court Findings</w:t>
            </w:r>
          </w:p>
          <w:p w14:paraId="1557805B"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5C65D55F" wp14:editId="49B7764D">
                  <wp:extent cx="2804160" cy="2103120"/>
                  <wp:effectExtent l="38100" t="38100" r="38100" b="38100"/>
                  <wp:docPr id="109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8E3E080" w14:textId="77777777" w:rsidR="002B6FD6" w:rsidRDefault="00000000">
            <w:pPr>
              <w:widowControl w:val="0"/>
              <w:spacing w:line="276" w:lineRule="auto"/>
              <w:rPr>
                <w:rFonts w:ascii="Calibri" w:eastAsia="Calibri" w:hAnsi="Calibri" w:cs="Calibri"/>
              </w:rPr>
            </w:pPr>
            <w:r>
              <w:rPr>
                <w:rFonts w:ascii="Calibri" w:eastAsia="Calibri" w:hAnsi="Calibri" w:cs="Calibri"/>
              </w:rPr>
              <w:t xml:space="preserve">Why was he held accountable? </w:t>
            </w:r>
          </w:p>
          <w:p w14:paraId="3928663E" w14:textId="77777777" w:rsidR="002B6FD6" w:rsidRDefault="00000000">
            <w:pPr>
              <w:widowControl w:val="0"/>
              <w:numPr>
                <w:ilvl w:val="0"/>
                <w:numId w:val="1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It was found that the sheriff should have known what was going on. </w:t>
            </w:r>
          </w:p>
          <w:p w14:paraId="5DE726E6" w14:textId="77777777" w:rsidR="002B6FD6" w:rsidRDefault="00000000">
            <w:pPr>
              <w:widowControl w:val="0"/>
              <w:numPr>
                <w:ilvl w:val="0"/>
                <w:numId w:val="1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Rather than investigating the allegations, he ignored the cases and failed to remove the women from contact with their alleged assailants. </w:t>
            </w:r>
          </w:p>
          <w:p w14:paraId="07CC1F3F" w14:textId="77777777" w:rsidR="002B6FD6" w:rsidRDefault="00000000">
            <w:pPr>
              <w:widowControl w:val="0"/>
              <w:numPr>
                <w:ilvl w:val="0"/>
                <w:numId w:val="1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son-in-law was later convicted </w:t>
            </w:r>
            <w:r>
              <w:rPr>
                <w:rFonts w:ascii="Calibri" w:eastAsia="Calibri" w:hAnsi="Calibri" w:cs="Calibri"/>
              </w:rPr>
              <w:t>of assault</w:t>
            </w:r>
            <w:r>
              <w:rPr>
                <w:rFonts w:ascii="Calibri" w:eastAsia="Calibri" w:hAnsi="Calibri" w:cs="Calibri"/>
                <w:color w:val="000000"/>
              </w:rPr>
              <w:t xml:space="preserve">. </w:t>
            </w:r>
          </w:p>
          <w:p w14:paraId="3CD7779F" w14:textId="77777777" w:rsidR="002B6FD6" w:rsidRDefault="00000000">
            <w:pPr>
              <w:widowControl w:val="0"/>
              <w:numPr>
                <w:ilvl w:val="0"/>
                <w:numId w:val="17"/>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Although all agencies have complaints </w:t>
            </w:r>
            <w:proofErr w:type="gramStart"/>
            <w:r>
              <w:rPr>
                <w:rFonts w:ascii="Calibri" w:eastAsia="Calibri" w:hAnsi="Calibri" w:cs="Calibri"/>
                <w:color w:val="000000"/>
              </w:rPr>
              <w:t>by</w:t>
            </w:r>
            <w:proofErr w:type="gramEnd"/>
            <w:r>
              <w:rPr>
                <w:rFonts w:ascii="Calibri" w:eastAsia="Calibri" w:hAnsi="Calibri" w:cs="Calibri"/>
                <w:color w:val="000000"/>
              </w:rPr>
              <w:t xml:space="preserve"> troublemakers, </w:t>
            </w:r>
            <w:r>
              <w:rPr>
                <w:rFonts w:ascii="Calibri" w:eastAsia="Calibri" w:hAnsi="Calibri" w:cs="Calibri"/>
                <w:color w:val="000000"/>
              </w:rPr>
              <w:lastRenderedPageBreak/>
              <w:t xml:space="preserve">all allegations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be investigated, or the agencies and the individuals within the agency can be held liable. </w:t>
            </w:r>
          </w:p>
        </w:tc>
        <w:tc>
          <w:tcPr>
            <w:tcW w:w="1890" w:type="dxa"/>
            <w:tcBorders>
              <w:top w:val="single" w:sz="4" w:space="0" w:color="000000"/>
              <w:left w:val="single" w:sz="4" w:space="0" w:color="000000"/>
              <w:bottom w:val="single" w:sz="4" w:space="0" w:color="000000"/>
              <w:right w:val="single" w:sz="4" w:space="0" w:color="000000"/>
            </w:tcBorders>
          </w:tcPr>
          <w:p w14:paraId="3114F065"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1E424B2E" wp14:editId="704AEA11">
                  <wp:extent cx="508000" cy="342900"/>
                  <wp:effectExtent l="0" t="0" r="0" b="0"/>
                  <wp:docPr id="1095"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0B57202C"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Gonzales v. Martinez</w:t>
            </w:r>
          </w:p>
        </w:tc>
      </w:tr>
      <w:tr w:rsidR="002B6FD6" w14:paraId="0C7E95C4" w14:textId="77777777">
        <w:tc>
          <w:tcPr>
            <w:tcW w:w="900" w:type="dxa"/>
            <w:tcBorders>
              <w:top w:val="single" w:sz="4" w:space="0" w:color="000000"/>
              <w:left w:val="single" w:sz="4" w:space="0" w:color="000000"/>
              <w:bottom w:val="single" w:sz="4" w:space="0" w:color="000000"/>
              <w:right w:val="single" w:sz="4" w:space="0" w:color="000000"/>
            </w:tcBorders>
          </w:tcPr>
          <w:p w14:paraId="673CABB2"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1D93A8CD"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Beers-Capitol v. Whetzel, 256 F.3d 120 (2001)</w:t>
            </w:r>
          </w:p>
          <w:p w14:paraId="44BF91D8"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05027D86" wp14:editId="4B962E28">
                  <wp:extent cx="2804160" cy="2103120"/>
                  <wp:effectExtent l="38100" t="38100" r="38100" b="38100"/>
                  <wp:docPr id="10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44AEF5A"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This was a highly visible case in the media with significant liability. </w:t>
            </w:r>
          </w:p>
          <w:p w14:paraId="49CD080B" w14:textId="77777777" w:rsidR="002B6FD6" w:rsidRDefault="00000000">
            <w:pPr>
              <w:widowControl w:val="0"/>
              <w:numPr>
                <w:ilvl w:val="0"/>
                <w:numId w:val="1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The juveniles made an 8</w:t>
            </w:r>
            <w:r>
              <w:rPr>
                <w:rFonts w:ascii="Calibri" w:eastAsia="Calibri" w:hAnsi="Calibri" w:cs="Calibri"/>
                <w:color w:val="000000"/>
                <w:vertAlign w:val="superscript"/>
              </w:rPr>
              <w:t>th</w:t>
            </w:r>
            <w:r>
              <w:rPr>
                <w:rFonts w:ascii="Calibri" w:eastAsia="Calibri" w:hAnsi="Calibri" w:cs="Calibri"/>
                <w:color w:val="000000"/>
              </w:rPr>
              <w:t xml:space="preserve"> Amendment claim of sexual assault and tried to claim summary judgment.</w:t>
            </w:r>
          </w:p>
          <w:p w14:paraId="59BA5840" w14:textId="77777777" w:rsidR="002B6FD6" w:rsidRDefault="00000000">
            <w:pPr>
              <w:widowControl w:val="0"/>
              <w:numPr>
                <w:ilvl w:val="0"/>
                <w:numId w:val="1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This would mean that, assuming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 allegations are true, the plaintiffs would win.</w:t>
            </w:r>
          </w:p>
          <w:p w14:paraId="5CD86950" w14:textId="77777777" w:rsidR="002B6FD6" w:rsidRDefault="00000000">
            <w:pPr>
              <w:widowControl w:val="0"/>
              <w:numPr>
                <w:ilvl w:val="0"/>
                <w:numId w:val="1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Here, the counselor made two mistakes. </w:t>
            </w:r>
          </w:p>
          <w:p w14:paraId="754D08A3" w14:textId="77777777" w:rsidR="002B6FD6" w:rsidRDefault="00000000">
            <w:pPr>
              <w:widowControl w:val="0"/>
              <w:numPr>
                <w:ilvl w:val="0"/>
                <w:numId w:val="44"/>
              </w:numPr>
              <w:pBdr>
                <w:top w:val="nil"/>
                <w:left w:val="nil"/>
                <w:bottom w:val="nil"/>
                <w:right w:val="nil"/>
                <w:between w:val="nil"/>
              </w:pBdr>
              <w:spacing w:line="276" w:lineRule="auto"/>
              <w:ind w:left="1242"/>
              <w:rPr>
                <w:rFonts w:ascii="Calibri" w:eastAsia="Calibri" w:hAnsi="Calibri" w:cs="Calibri"/>
                <w:color w:val="000000"/>
              </w:rPr>
            </w:pPr>
            <w:r>
              <w:rPr>
                <w:rFonts w:ascii="Calibri" w:eastAsia="Calibri" w:hAnsi="Calibri" w:cs="Calibri"/>
                <w:color w:val="000000"/>
              </w:rPr>
              <w:t xml:space="preserve">She admitted to suspecting something without reporting it. </w:t>
            </w:r>
          </w:p>
          <w:p w14:paraId="2751489B" w14:textId="77777777" w:rsidR="002B6FD6" w:rsidRDefault="00000000">
            <w:pPr>
              <w:widowControl w:val="0"/>
              <w:numPr>
                <w:ilvl w:val="0"/>
                <w:numId w:val="44"/>
              </w:numPr>
              <w:pBdr>
                <w:top w:val="nil"/>
                <w:left w:val="nil"/>
                <w:bottom w:val="nil"/>
                <w:right w:val="nil"/>
                <w:between w:val="nil"/>
              </w:pBdr>
              <w:spacing w:after="200" w:line="276" w:lineRule="auto"/>
              <w:ind w:left="1242"/>
              <w:rPr>
                <w:rFonts w:ascii="Calibri" w:eastAsia="Calibri" w:hAnsi="Calibri" w:cs="Calibri"/>
                <w:color w:val="000000"/>
              </w:rPr>
            </w:pPr>
            <w:r>
              <w:rPr>
                <w:rFonts w:ascii="Calibri" w:eastAsia="Calibri" w:hAnsi="Calibri" w:cs="Calibri"/>
                <w:color w:val="000000"/>
              </w:rPr>
              <w:t xml:space="preserve">She documented her suspicions. </w:t>
            </w:r>
          </w:p>
          <w:p w14:paraId="745B31A8"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What do we tell our staff about reporting? </w:t>
            </w:r>
          </w:p>
          <w:p w14:paraId="698CE194" w14:textId="77777777" w:rsidR="002B6FD6" w:rsidRDefault="00000000">
            <w:pPr>
              <w:widowControl w:val="0"/>
              <w:numPr>
                <w:ilvl w:val="0"/>
                <w:numId w:val="1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It is easy to report when someone approaches you with an allegation. But what about rumors? Suspicion? </w:t>
            </w:r>
          </w:p>
          <w:p w14:paraId="7E8B92F6" w14:textId="77777777" w:rsidR="002B6FD6" w:rsidRDefault="00000000">
            <w:pPr>
              <w:widowControl w:val="0"/>
              <w:numPr>
                <w:ilvl w:val="0"/>
                <w:numId w:val="18"/>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It is best to over-report rather than under-report. Do not put your own career on the line for someone else. </w:t>
            </w:r>
          </w:p>
          <w:p w14:paraId="367C28A6"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5B82EA4F"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35CD7266"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5CB6EC2A"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tc>
        <w:tc>
          <w:tcPr>
            <w:tcW w:w="1890" w:type="dxa"/>
            <w:tcBorders>
              <w:top w:val="single" w:sz="4" w:space="0" w:color="000000"/>
              <w:left w:val="single" w:sz="4" w:space="0" w:color="000000"/>
              <w:bottom w:val="single" w:sz="4" w:space="0" w:color="000000"/>
              <w:right w:val="single" w:sz="4" w:space="0" w:color="000000"/>
            </w:tcBorders>
          </w:tcPr>
          <w:p w14:paraId="708EFBB2"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5B75A260" wp14:editId="4AE321A7">
                  <wp:extent cx="508000" cy="342900"/>
                  <wp:effectExtent l="0" t="0" r="0" b="0"/>
                  <wp:docPr id="1079"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85ABFD8"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Beers-Capitol v. Whetzel</w:t>
            </w:r>
          </w:p>
        </w:tc>
      </w:tr>
      <w:tr w:rsidR="002B6FD6" w14:paraId="501CEDB5" w14:textId="77777777">
        <w:tc>
          <w:tcPr>
            <w:tcW w:w="900" w:type="dxa"/>
            <w:tcBorders>
              <w:top w:val="single" w:sz="4" w:space="0" w:color="000000"/>
              <w:left w:val="single" w:sz="4" w:space="0" w:color="000000"/>
              <w:bottom w:val="single" w:sz="4" w:space="0" w:color="000000"/>
              <w:right w:val="single" w:sz="4" w:space="0" w:color="000000"/>
            </w:tcBorders>
          </w:tcPr>
          <w:p w14:paraId="6F4440F0"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287C34FE"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Guidry v. Rapides School Board, 560 So.2d 125 (La. App. 1990)</w:t>
            </w:r>
          </w:p>
          <w:p w14:paraId="4009CD37"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068EE946" wp14:editId="3397E198">
                  <wp:extent cx="2804160" cy="2103120"/>
                  <wp:effectExtent l="38100" t="38100" r="38100" b="38100"/>
                  <wp:docPr id="108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31281C2" w14:textId="77777777" w:rsidR="002B6FD6" w:rsidRDefault="00000000">
            <w:pPr>
              <w:widowControl w:val="0"/>
              <w:numPr>
                <w:ilvl w:val="0"/>
                <w:numId w:val="19"/>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rPr>
              <w:t xml:space="preserve">In this case, a staff member left a group of mentally handicapped children alone during a brief smoke break. </w:t>
            </w:r>
          </w:p>
          <w:p w14:paraId="0808D3F6" w14:textId="77777777" w:rsidR="002B6FD6" w:rsidRDefault="00000000">
            <w:pPr>
              <w:widowControl w:val="0"/>
              <w:numPr>
                <w:ilvl w:val="0"/>
                <w:numId w:val="19"/>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rPr>
              <w:t xml:space="preserve">During this time, a girl was sexually assaulted by a group of boys. </w:t>
            </w:r>
          </w:p>
          <w:p w14:paraId="55B827BB" w14:textId="77777777" w:rsidR="002B6FD6" w:rsidRDefault="00000000">
            <w:pPr>
              <w:widowControl w:val="0"/>
              <w:numPr>
                <w:ilvl w:val="0"/>
                <w:numId w:val="19"/>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rPr>
              <w:t xml:space="preserve">The court determined that the staff member breached his duty by leaving the youth </w:t>
            </w:r>
            <w:proofErr w:type="gramStart"/>
            <w:r>
              <w:rPr>
                <w:rFonts w:ascii="Calibri" w:eastAsia="Calibri" w:hAnsi="Calibri" w:cs="Calibri"/>
                <w:color w:val="000000"/>
              </w:rPr>
              <w:t>alone, and</w:t>
            </w:r>
            <w:proofErr w:type="gramEnd"/>
            <w:r>
              <w:rPr>
                <w:rFonts w:ascii="Calibri" w:eastAsia="Calibri" w:hAnsi="Calibri" w:cs="Calibri"/>
                <w:color w:val="000000"/>
              </w:rPr>
              <w:t xml:space="preserve"> was therefore held liable. </w:t>
            </w:r>
          </w:p>
          <w:p w14:paraId="14D926F3" w14:textId="77777777" w:rsidR="002B6FD6" w:rsidRDefault="00000000">
            <w:pPr>
              <w:widowControl w:val="0"/>
              <w:numPr>
                <w:ilvl w:val="0"/>
                <w:numId w:val="19"/>
              </w:num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 xml:space="preserve">This is a general supervisory lesson: Vulnerable individuals </w:t>
            </w:r>
            <w:proofErr w:type="gramStart"/>
            <w:r>
              <w:rPr>
                <w:rFonts w:ascii="Calibri" w:eastAsia="Calibri" w:hAnsi="Calibri" w:cs="Calibri"/>
                <w:color w:val="000000"/>
              </w:rPr>
              <w:t>require supervision at all times</w:t>
            </w:r>
            <w:proofErr w:type="gramEnd"/>
            <w:r>
              <w:rPr>
                <w:rFonts w:ascii="Calibri" w:eastAsia="Calibri" w:hAnsi="Calibri" w:cs="Calibri"/>
                <w:color w:val="000000"/>
              </w:rPr>
              <w:t>.</w:t>
            </w:r>
          </w:p>
        </w:tc>
        <w:tc>
          <w:tcPr>
            <w:tcW w:w="1890" w:type="dxa"/>
            <w:tcBorders>
              <w:top w:val="single" w:sz="4" w:space="0" w:color="000000"/>
              <w:left w:val="single" w:sz="4" w:space="0" w:color="000000"/>
              <w:bottom w:val="single" w:sz="4" w:space="0" w:color="000000"/>
              <w:right w:val="single" w:sz="4" w:space="0" w:color="000000"/>
            </w:tcBorders>
          </w:tcPr>
          <w:p w14:paraId="69B7EEF9"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64B662C7" wp14:editId="43F84EF9">
                  <wp:extent cx="508000" cy="342900"/>
                  <wp:effectExtent l="0" t="0" r="0" b="0"/>
                  <wp:docPr id="108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057B739"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Guidry v. Rapides School Board</w:t>
            </w:r>
          </w:p>
        </w:tc>
      </w:tr>
      <w:tr w:rsidR="002B6FD6" w14:paraId="7111F1C8" w14:textId="77777777">
        <w:tc>
          <w:tcPr>
            <w:tcW w:w="900" w:type="dxa"/>
            <w:tcBorders>
              <w:top w:val="single" w:sz="4" w:space="0" w:color="000000"/>
              <w:left w:val="single" w:sz="4" w:space="0" w:color="000000"/>
              <w:bottom w:val="single" w:sz="4" w:space="0" w:color="000000"/>
              <w:right w:val="single" w:sz="4" w:space="0" w:color="000000"/>
            </w:tcBorders>
          </w:tcPr>
          <w:p w14:paraId="00D81718"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7CFA9B21"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R.G. v. Koller (D. Hawaii 2006)</w:t>
            </w:r>
          </w:p>
          <w:p w14:paraId="351E2FA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27FA88C4" wp14:editId="515D86AB">
                  <wp:extent cx="2804160" cy="2103120"/>
                  <wp:effectExtent l="38100" t="38100" r="38100" b="38100"/>
                  <wp:docPr id="112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84E3D00" w14:textId="77777777" w:rsidR="002B6FD6" w:rsidRDefault="00000000">
            <w:pPr>
              <w:numPr>
                <w:ilvl w:val="0"/>
                <w:numId w:val="24"/>
              </w:numPr>
              <w:pBdr>
                <w:top w:val="nil"/>
                <w:left w:val="nil"/>
                <w:bottom w:val="nil"/>
                <w:right w:val="nil"/>
                <w:between w:val="nil"/>
              </w:pBdr>
              <w:tabs>
                <w:tab w:val="left" w:pos="7290"/>
              </w:tabs>
              <w:spacing w:after="120" w:line="276" w:lineRule="auto"/>
              <w:rPr>
                <w:rFonts w:ascii="Calibri" w:eastAsia="Calibri" w:hAnsi="Calibri" w:cs="Calibri"/>
                <w:color w:val="000000"/>
              </w:rPr>
            </w:pPr>
            <w:r>
              <w:rPr>
                <w:rFonts w:ascii="Calibri" w:eastAsia="Calibri" w:hAnsi="Calibri" w:cs="Calibri"/>
                <w:color w:val="000000"/>
              </w:rPr>
              <w:t xml:space="preserve">In this case, three juveniles (one male-to-female transgender youth, one lesbian, and one 18-year-old boy perceived to be gay) sued Hawaii Youth Correctional Facility for harassment and extensive use of isolation. </w:t>
            </w:r>
          </w:p>
          <w:p w14:paraId="62173059" w14:textId="77777777" w:rsidR="00237F82" w:rsidRDefault="00237F82" w:rsidP="00237F82">
            <w:pPr>
              <w:pBdr>
                <w:top w:val="nil"/>
                <w:left w:val="nil"/>
                <w:bottom w:val="nil"/>
                <w:right w:val="nil"/>
                <w:between w:val="nil"/>
              </w:pBdr>
              <w:tabs>
                <w:tab w:val="left" w:pos="7290"/>
              </w:tabs>
              <w:spacing w:after="120" w:line="276" w:lineRule="auto"/>
              <w:rPr>
                <w:rFonts w:ascii="Calibri" w:eastAsia="Calibri" w:hAnsi="Calibri" w:cs="Calibri"/>
                <w:color w:val="000000"/>
              </w:rPr>
            </w:pPr>
          </w:p>
        </w:tc>
        <w:tc>
          <w:tcPr>
            <w:tcW w:w="1890" w:type="dxa"/>
            <w:tcBorders>
              <w:top w:val="single" w:sz="4" w:space="0" w:color="000000"/>
              <w:left w:val="single" w:sz="4" w:space="0" w:color="000000"/>
              <w:bottom w:val="single" w:sz="4" w:space="0" w:color="000000"/>
              <w:right w:val="single" w:sz="4" w:space="0" w:color="000000"/>
            </w:tcBorders>
          </w:tcPr>
          <w:p w14:paraId="2EA6AAE3"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noProof/>
                <w:sz w:val="20"/>
                <w:szCs w:val="20"/>
              </w:rPr>
              <w:drawing>
                <wp:inline distT="0" distB="0" distL="0" distR="0" wp14:anchorId="0C042232" wp14:editId="15A08400">
                  <wp:extent cx="508000" cy="342900"/>
                  <wp:effectExtent l="0" t="0" r="0" b="0"/>
                  <wp:docPr id="1131"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AF6972A"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R.G. v. Koller (D. Hawaii 2006)</w:t>
            </w:r>
          </w:p>
        </w:tc>
      </w:tr>
      <w:tr w:rsidR="002B6FD6" w14:paraId="05496974" w14:textId="77777777">
        <w:tc>
          <w:tcPr>
            <w:tcW w:w="900" w:type="dxa"/>
            <w:tcBorders>
              <w:top w:val="single" w:sz="4" w:space="0" w:color="000000"/>
              <w:left w:val="single" w:sz="4" w:space="0" w:color="000000"/>
              <w:bottom w:val="single" w:sz="4" w:space="0" w:color="000000"/>
              <w:right w:val="single" w:sz="4" w:space="0" w:color="000000"/>
            </w:tcBorders>
          </w:tcPr>
          <w:p w14:paraId="58758974"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 xml:space="preserve">1 </w:t>
            </w:r>
            <w:r>
              <w:rPr>
                <w:rFonts w:ascii="Calibri" w:eastAsia="Calibri" w:hAnsi="Calibri" w:cs="Calibri"/>
                <w:b/>
              </w:rPr>
              <w:t>min</w:t>
            </w:r>
          </w:p>
        </w:tc>
        <w:tc>
          <w:tcPr>
            <w:tcW w:w="6570" w:type="dxa"/>
            <w:tcBorders>
              <w:top w:val="single" w:sz="4" w:space="0" w:color="000000"/>
              <w:left w:val="single" w:sz="4" w:space="0" w:color="000000"/>
              <w:bottom w:val="single" w:sz="4" w:space="0" w:color="000000"/>
              <w:right w:val="single" w:sz="4" w:space="0" w:color="000000"/>
            </w:tcBorders>
          </w:tcPr>
          <w:p w14:paraId="30271476"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R.G. v. Koller</w:t>
            </w:r>
          </w:p>
          <w:p w14:paraId="6648CD3B"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49F4B171" wp14:editId="4B4813CB">
                  <wp:extent cx="2804159" cy="2103120"/>
                  <wp:effectExtent l="38100" t="38100" r="38100" b="38100"/>
                  <wp:docPr id="113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5"/>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11F62C86" w14:textId="77777777" w:rsidR="002B6FD6" w:rsidRDefault="00000000">
            <w:pPr>
              <w:numPr>
                <w:ilvl w:val="0"/>
                <w:numId w:val="23"/>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The facility claimed the isolation was reasonable and non-punitive. The court determined that the use of isolation on children was not within the “range of accepted professional practices” and constituted punishment in </w:t>
            </w:r>
            <w:r>
              <w:rPr>
                <w:rFonts w:ascii="Calibri" w:eastAsia="Calibri" w:hAnsi="Calibri" w:cs="Calibri"/>
                <w:color w:val="000000"/>
              </w:rPr>
              <w:t>violation of due process rights.”</w:t>
            </w:r>
          </w:p>
          <w:p w14:paraId="2C16CD39" w14:textId="77777777" w:rsidR="002B6FD6" w:rsidRDefault="00000000">
            <w:pPr>
              <w:numPr>
                <w:ilvl w:val="0"/>
                <w:numId w:val="23"/>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The court maintained the facility was deliberately indifferent based on its lack of:</w:t>
            </w:r>
          </w:p>
          <w:p w14:paraId="01CBD48F" w14:textId="77777777" w:rsidR="002B6FD6" w:rsidRDefault="00000000">
            <w:pPr>
              <w:numPr>
                <w:ilvl w:val="0"/>
                <w:numId w:val="3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Policies and training necessary to protect LGBT </w:t>
            </w:r>
            <w:proofErr w:type="gramStart"/>
            <w:r>
              <w:rPr>
                <w:rFonts w:ascii="Calibri" w:eastAsia="Calibri" w:hAnsi="Calibri" w:cs="Calibri"/>
                <w:color w:val="000000"/>
              </w:rPr>
              <w:t>youth;</w:t>
            </w:r>
            <w:proofErr w:type="gramEnd"/>
            <w:r>
              <w:rPr>
                <w:rFonts w:ascii="Calibri" w:eastAsia="Calibri" w:hAnsi="Calibri" w:cs="Calibri"/>
                <w:color w:val="000000"/>
              </w:rPr>
              <w:t xml:space="preserve"> </w:t>
            </w:r>
          </w:p>
          <w:p w14:paraId="03A6250E" w14:textId="77777777" w:rsidR="002B6FD6" w:rsidRDefault="00000000">
            <w:pPr>
              <w:numPr>
                <w:ilvl w:val="0"/>
                <w:numId w:val="3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Adequate staffing and </w:t>
            </w:r>
            <w:proofErr w:type="gramStart"/>
            <w:r>
              <w:rPr>
                <w:rFonts w:ascii="Calibri" w:eastAsia="Calibri" w:hAnsi="Calibri" w:cs="Calibri"/>
                <w:color w:val="000000"/>
              </w:rPr>
              <w:t>supervision;</w:t>
            </w:r>
            <w:proofErr w:type="gramEnd"/>
            <w:r>
              <w:rPr>
                <w:rFonts w:ascii="Calibri" w:eastAsia="Calibri" w:hAnsi="Calibri" w:cs="Calibri"/>
                <w:color w:val="000000"/>
              </w:rPr>
              <w:t xml:space="preserve"> </w:t>
            </w:r>
          </w:p>
          <w:p w14:paraId="17E838EC" w14:textId="77777777" w:rsidR="002B6FD6" w:rsidRDefault="00000000">
            <w:pPr>
              <w:numPr>
                <w:ilvl w:val="0"/>
                <w:numId w:val="3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A functioning grievance system; and </w:t>
            </w:r>
          </w:p>
          <w:p w14:paraId="42DC6DFF" w14:textId="77777777" w:rsidR="002B6FD6" w:rsidRDefault="00000000">
            <w:pPr>
              <w:numPr>
                <w:ilvl w:val="0"/>
                <w:numId w:val="3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A classification system to protect vulnerable youth.</w:t>
            </w:r>
          </w:p>
          <w:p w14:paraId="1D74AA0A" w14:textId="77777777" w:rsidR="002B6FD6" w:rsidRDefault="00000000">
            <w:pPr>
              <w:numPr>
                <w:ilvl w:val="0"/>
                <w:numId w:val="38"/>
              </w:numPr>
              <w:pBdr>
                <w:top w:val="nil"/>
                <w:left w:val="nil"/>
                <w:bottom w:val="nil"/>
                <w:right w:val="nil"/>
                <w:between w:val="nil"/>
              </w:pBdr>
              <w:tabs>
                <w:tab w:val="left" w:pos="7290"/>
              </w:tabs>
              <w:spacing w:after="120" w:line="276" w:lineRule="auto"/>
              <w:ind w:left="720"/>
              <w:rPr>
                <w:rFonts w:ascii="Calibri" w:eastAsia="Calibri" w:hAnsi="Calibri" w:cs="Calibri"/>
                <w:color w:val="000000"/>
              </w:rPr>
            </w:pPr>
            <w:r>
              <w:rPr>
                <w:rFonts w:ascii="Calibri" w:eastAsia="Calibri" w:hAnsi="Calibri" w:cs="Calibri"/>
                <w:color w:val="000000"/>
              </w:rPr>
              <w:t>The court also criticized the agency for using isolation as their first option and having no alternative housing plan.</w:t>
            </w:r>
          </w:p>
        </w:tc>
        <w:tc>
          <w:tcPr>
            <w:tcW w:w="1890" w:type="dxa"/>
            <w:tcBorders>
              <w:top w:val="single" w:sz="4" w:space="0" w:color="000000"/>
              <w:left w:val="single" w:sz="4" w:space="0" w:color="000000"/>
              <w:bottom w:val="single" w:sz="4" w:space="0" w:color="000000"/>
              <w:right w:val="single" w:sz="4" w:space="0" w:color="000000"/>
            </w:tcBorders>
          </w:tcPr>
          <w:p w14:paraId="1FAC0E10"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noProof/>
                <w:sz w:val="20"/>
                <w:szCs w:val="20"/>
              </w:rPr>
              <w:drawing>
                <wp:inline distT="0" distB="0" distL="0" distR="0" wp14:anchorId="272C211F" wp14:editId="62FF7BF3">
                  <wp:extent cx="508000" cy="342900"/>
                  <wp:effectExtent l="0" t="0" r="0" b="0"/>
                  <wp:docPr id="1135"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26A439C8" w14:textId="77777777" w:rsidR="002B6FD6" w:rsidRDefault="00000000">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R.G. v. Koller</w:t>
            </w:r>
          </w:p>
        </w:tc>
      </w:tr>
      <w:tr w:rsidR="002B6FD6" w14:paraId="1E3F2E5E" w14:textId="77777777">
        <w:tc>
          <w:tcPr>
            <w:tcW w:w="900" w:type="dxa"/>
            <w:tcBorders>
              <w:top w:val="single" w:sz="4" w:space="0" w:color="000000"/>
              <w:left w:val="single" w:sz="4" w:space="0" w:color="000000"/>
              <w:bottom w:val="single" w:sz="4" w:space="0" w:color="000000"/>
              <w:right w:val="single" w:sz="4" w:space="0" w:color="000000"/>
            </w:tcBorders>
          </w:tcPr>
          <w:p w14:paraId="6C5F38AA"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1C0DD46F"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Kahle v. Leonard (8</w:t>
            </w:r>
            <w:r>
              <w:rPr>
                <w:rFonts w:ascii="Calibri" w:eastAsia="Calibri" w:hAnsi="Calibri" w:cs="Calibri"/>
                <w:b/>
                <w:color w:val="000000"/>
                <w:vertAlign w:val="superscript"/>
              </w:rPr>
              <w:t>th</w:t>
            </w:r>
            <w:r>
              <w:rPr>
                <w:rFonts w:ascii="Calibri" w:eastAsia="Calibri" w:hAnsi="Calibri" w:cs="Calibri"/>
                <w:b/>
                <w:color w:val="000000"/>
              </w:rPr>
              <w:t xml:space="preserve"> Cir. 2007)</w:t>
            </w:r>
          </w:p>
          <w:p w14:paraId="599B77C5"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7E43035F" wp14:editId="6BE55B81">
                  <wp:extent cx="2804160" cy="2103120"/>
                  <wp:effectExtent l="38100" t="38100" r="38100" b="38100"/>
                  <wp:docPr id="113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3C4EAB6A"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This is a case about supervisors, new staff, turnover in staff, and </w:t>
            </w:r>
            <w:r>
              <w:rPr>
                <w:rFonts w:ascii="Calibri" w:eastAsia="Calibri" w:hAnsi="Calibri" w:cs="Calibri"/>
              </w:rPr>
              <w:lastRenderedPageBreak/>
              <w:t xml:space="preserve">technology. </w:t>
            </w:r>
          </w:p>
          <w:p w14:paraId="3112DC19" w14:textId="77777777" w:rsidR="002B6FD6" w:rsidRDefault="00000000">
            <w:pPr>
              <w:widowControl w:val="0"/>
              <w:numPr>
                <w:ilvl w:val="0"/>
                <w:numId w:val="20"/>
              </w:num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 xml:space="preserve">Within this facility, policy required logging every entrance to a cell. However, a trainee under supervision by an experienced officer entered an inmate’s cell multiple times within one evening with no justification or logging of the entrance and </w:t>
            </w:r>
            <w:r>
              <w:rPr>
                <w:rFonts w:ascii="Calibri" w:eastAsia="Calibri" w:hAnsi="Calibri" w:cs="Calibri"/>
              </w:rPr>
              <w:t>sexually</w:t>
            </w:r>
            <w:r>
              <w:rPr>
                <w:rFonts w:ascii="Calibri" w:eastAsia="Calibri" w:hAnsi="Calibri" w:cs="Calibri"/>
                <w:color w:val="000000"/>
              </w:rPr>
              <w:t xml:space="preserve"> abused her each time.</w:t>
            </w:r>
          </w:p>
        </w:tc>
        <w:tc>
          <w:tcPr>
            <w:tcW w:w="1890" w:type="dxa"/>
            <w:tcBorders>
              <w:top w:val="single" w:sz="4" w:space="0" w:color="000000"/>
              <w:left w:val="single" w:sz="4" w:space="0" w:color="000000"/>
              <w:bottom w:val="single" w:sz="4" w:space="0" w:color="000000"/>
              <w:right w:val="single" w:sz="4" w:space="0" w:color="000000"/>
            </w:tcBorders>
          </w:tcPr>
          <w:p w14:paraId="3B9275B6"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58F457C7" wp14:editId="30D84722">
                  <wp:extent cx="508000" cy="342900"/>
                  <wp:effectExtent l="0" t="0" r="0" b="0"/>
                  <wp:docPr id="1137"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7CBA9DA8"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Kahle v. Leonard</w:t>
            </w:r>
          </w:p>
        </w:tc>
      </w:tr>
      <w:tr w:rsidR="002B6FD6" w14:paraId="4A7FDDF5" w14:textId="77777777">
        <w:trPr>
          <w:trHeight w:val="359"/>
        </w:trPr>
        <w:tc>
          <w:tcPr>
            <w:tcW w:w="900" w:type="dxa"/>
            <w:tcBorders>
              <w:top w:val="single" w:sz="4" w:space="0" w:color="000000"/>
              <w:left w:val="single" w:sz="4" w:space="0" w:color="000000"/>
              <w:bottom w:val="single" w:sz="4" w:space="0" w:color="000000"/>
              <w:right w:val="single" w:sz="4" w:space="0" w:color="000000"/>
            </w:tcBorders>
          </w:tcPr>
          <w:p w14:paraId="78E29B32"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2868BF35"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Kahle v. Leonard (8</w:t>
            </w:r>
            <w:r>
              <w:rPr>
                <w:rFonts w:ascii="Calibri" w:eastAsia="Calibri" w:hAnsi="Calibri" w:cs="Calibri"/>
                <w:b/>
                <w:color w:val="000000"/>
                <w:vertAlign w:val="superscript"/>
              </w:rPr>
              <w:t>th</w:t>
            </w:r>
            <w:r>
              <w:rPr>
                <w:rFonts w:ascii="Calibri" w:eastAsia="Calibri" w:hAnsi="Calibri" w:cs="Calibri"/>
                <w:b/>
                <w:color w:val="000000"/>
              </w:rPr>
              <w:t xml:space="preserve"> Cir. 2007)</w:t>
            </w:r>
          </w:p>
          <w:p w14:paraId="557C196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742DB505" wp14:editId="18868092">
                  <wp:extent cx="2804160" cy="2103120"/>
                  <wp:effectExtent l="38100" t="38100" r="38100" b="38100"/>
                  <wp:docPr id="114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4E7C416" w14:textId="77777777" w:rsidR="002B6FD6" w:rsidRDefault="00000000">
            <w:pPr>
              <w:widowControl w:val="0"/>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The experienced officer who was training the new employee was sitting at a workstation.</w:t>
            </w:r>
          </w:p>
          <w:p w14:paraId="1A5A4BE6" w14:textId="77777777" w:rsidR="002B6FD6" w:rsidRDefault="00000000">
            <w:pPr>
              <w:widowControl w:val="0"/>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From that </w:t>
            </w:r>
            <w:proofErr w:type="gramStart"/>
            <w:r>
              <w:rPr>
                <w:rFonts w:ascii="Calibri" w:eastAsia="Calibri" w:hAnsi="Calibri" w:cs="Calibri"/>
                <w:color w:val="000000"/>
              </w:rPr>
              <w:t>work station</w:t>
            </w:r>
            <w:proofErr w:type="gramEnd"/>
            <w:r>
              <w:rPr>
                <w:rFonts w:ascii="Calibri" w:eastAsia="Calibri" w:hAnsi="Calibri" w:cs="Calibri"/>
                <w:color w:val="000000"/>
              </w:rPr>
              <w:t xml:space="preserve">, he could clearly see a board on which a light comes on </w:t>
            </w:r>
            <w:r>
              <w:rPr>
                <w:rFonts w:ascii="Calibri" w:eastAsia="Calibri" w:hAnsi="Calibri" w:cs="Calibri"/>
                <w:color w:val="000000"/>
              </w:rPr>
              <w:t>every time someone enters a cell.</w:t>
            </w:r>
          </w:p>
          <w:p w14:paraId="6F6296AB" w14:textId="77777777" w:rsidR="002B6FD6" w:rsidRDefault="00000000">
            <w:pPr>
              <w:widowControl w:val="0"/>
              <w:numPr>
                <w:ilvl w:val="0"/>
                <w:numId w:val="3"/>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Additionally, he could </w:t>
            </w:r>
            <w:proofErr w:type="gramStart"/>
            <w:r>
              <w:rPr>
                <w:rFonts w:ascii="Calibri" w:eastAsia="Calibri" w:hAnsi="Calibri" w:cs="Calibri"/>
                <w:color w:val="000000"/>
              </w:rPr>
              <w:t>actually see</w:t>
            </w:r>
            <w:proofErr w:type="gramEnd"/>
            <w:r>
              <w:rPr>
                <w:rFonts w:ascii="Calibri" w:eastAsia="Calibri" w:hAnsi="Calibri" w:cs="Calibri"/>
                <w:color w:val="000000"/>
              </w:rPr>
              <w:t xml:space="preserve"> the cell itself from his seat. Therefore, it was determined that the supervisor could be held liable for the trainee’s behavior.</w:t>
            </w:r>
          </w:p>
          <w:p w14:paraId="599CF831"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3C259B90"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3614C4E0"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624F3B42"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0A62F002"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224CAE4D"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151E6A1C"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tc>
        <w:tc>
          <w:tcPr>
            <w:tcW w:w="1890" w:type="dxa"/>
            <w:tcBorders>
              <w:top w:val="single" w:sz="4" w:space="0" w:color="000000"/>
              <w:left w:val="single" w:sz="4" w:space="0" w:color="000000"/>
              <w:bottom w:val="single" w:sz="4" w:space="0" w:color="000000"/>
              <w:right w:val="single" w:sz="4" w:space="0" w:color="000000"/>
            </w:tcBorders>
          </w:tcPr>
          <w:p w14:paraId="4AD96673"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7AFF2F56" wp14:editId="2AC7EF54">
                  <wp:extent cx="508000" cy="342900"/>
                  <wp:effectExtent l="0" t="0" r="0" b="0"/>
                  <wp:docPr id="114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113C1F0D"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Kahle v. Leonard</w:t>
            </w:r>
          </w:p>
        </w:tc>
      </w:tr>
      <w:tr w:rsidR="002B6FD6" w14:paraId="346D7C76" w14:textId="77777777">
        <w:tc>
          <w:tcPr>
            <w:tcW w:w="900" w:type="dxa"/>
            <w:tcBorders>
              <w:top w:val="single" w:sz="4" w:space="0" w:color="000000"/>
              <w:left w:val="single" w:sz="4" w:space="0" w:color="000000"/>
              <w:bottom w:val="single" w:sz="4" w:space="0" w:color="000000"/>
              <w:right w:val="single" w:sz="4" w:space="0" w:color="000000"/>
            </w:tcBorders>
          </w:tcPr>
          <w:p w14:paraId="2672EE9A"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22384152"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Legal Framework</w:t>
            </w:r>
          </w:p>
          <w:p w14:paraId="632EA32E"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Qualified Immunity</w:t>
            </w:r>
          </w:p>
          <w:p w14:paraId="0F3704FD"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5335315F" wp14:editId="3AB3EAC5">
                  <wp:extent cx="2804161" cy="2103120"/>
                  <wp:effectExtent l="38100" t="38100" r="38100" b="38100"/>
                  <wp:docPr id="114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8"/>
                          <a:srcRect/>
                          <a:stretch>
                            <a:fillRect/>
                          </a:stretch>
                        </pic:blipFill>
                        <pic:spPr>
                          <a:xfrm>
                            <a:off x="0" y="0"/>
                            <a:ext cx="2804161" cy="2103120"/>
                          </a:xfrm>
                          <a:prstGeom prst="rect">
                            <a:avLst/>
                          </a:prstGeom>
                          <a:ln w="38100">
                            <a:solidFill>
                              <a:srgbClr val="000000"/>
                            </a:solidFill>
                            <a:prstDash val="solid"/>
                          </a:ln>
                        </pic:spPr>
                      </pic:pic>
                    </a:graphicData>
                  </a:graphic>
                </wp:inline>
              </w:drawing>
            </w:r>
          </w:p>
          <w:p w14:paraId="4CC71941"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Qualified immunity allows government employees to take advantage of a legal framework wherein their responsibilities are not clearly defined. If the law is not clear enough, the individual should not be penalized for a reasonable interpretation of the law. This applies only to government employees, not private employees. In this case, </w:t>
            </w:r>
          </w:p>
          <w:p w14:paraId="0D20A710" w14:textId="77777777" w:rsidR="002B6FD6" w:rsidRDefault="00000000">
            <w:pPr>
              <w:widowControl w:val="0"/>
              <w:numPr>
                <w:ilvl w:val="0"/>
                <w:numId w:val="4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 male staff member observed a female throughout the entire urinalysis process. </w:t>
            </w:r>
          </w:p>
          <w:p w14:paraId="38B5B920" w14:textId="77777777" w:rsidR="002B6FD6" w:rsidRDefault="00000000">
            <w:pPr>
              <w:widowControl w:val="0"/>
              <w:numPr>
                <w:ilvl w:val="0"/>
                <w:numId w:val="4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He attempted to claim qualified immunity. </w:t>
            </w:r>
          </w:p>
          <w:p w14:paraId="2E8BCFD3" w14:textId="77777777" w:rsidR="002B6FD6" w:rsidRDefault="00000000">
            <w:pPr>
              <w:widowControl w:val="0"/>
              <w:numPr>
                <w:ilvl w:val="0"/>
                <w:numId w:val="42"/>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Because laws governing cross-gender supervision during a urinalysis are clearly defined, he was not determined to have qualified immunity. </w:t>
            </w:r>
          </w:p>
          <w:p w14:paraId="6D8A1C10" w14:textId="77777777" w:rsidR="00237F82" w:rsidRDefault="00000000">
            <w:pPr>
              <w:widowControl w:val="0"/>
              <w:spacing w:after="200" w:line="276" w:lineRule="auto"/>
              <w:rPr>
                <w:rFonts w:ascii="Calibri" w:eastAsia="Calibri" w:hAnsi="Calibri" w:cs="Calibri"/>
              </w:rPr>
            </w:pPr>
            <w:r>
              <w:rPr>
                <w:rFonts w:ascii="Calibri" w:eastAsia="Calibri" w:hAnsi="Calibri" w:cs="Calibri"/>
              </w:rPr>
              <w:t>Sexual abuse laws are also very clearly defined now, so it is difficult to argue for qualified immunity in these sorts of cases.</w:t>
            </w:r>
          </w:p>
          <w:p w14:paraId="100BAD12" w14:textId="77777777" w:rsidR="00237F82" w:rsidRDefault="00237F82">
            <w:pPr>
              <w:widowControl w:val="0"/>
              <w:spacing w:after="200" w:line="276" w:lineRule="auto"/>
              <w:rPr>
                <w:rFonts w:ascii="Calibri" w:eastAsia="Calibri" w:hAnsi="Calibri" w:cs="Calibri"/>
              </w:rPr>
            </w:pPr>
          </w:p>
          <w:p w14:paraId="06FD47FA" w14:textId="77777777" w:rsidR="00237F82" w:rsidRDefault="00237F82">
            <w:pPr>
              <w:widowControl w:val="0"/>
              <w:spacing w:after="200" w:line="276" w:lineRule="auto"/>
              <w:rPr>
                <w:rFonts w:ascii="Calibri" w:eastAsia="Calibri" w:hAnsi="Calibri" w:cs="Calibri"/>
              </w:rPr>
            </w:pPr>
          </w:p>
          <w:p w14:paraId="638D027E" w14:textId="77777777" w:rsidR="00237F82" w:rsidRDefault="00237F82">
            <w:pPr>
              <w:widowControl w:val="0"/>
              <w:spacing w:after="200" w:line="276" w:lineRule="auto"/>
              <w:rPr>
                <w:rFonts w:ascii="Calibri" w:eastAsia="Calibri" w:hAnsi="Calibri" w:cs="Calibri"/>
              </w:rPr>
            </w:pPr>
          </w:p>
          <w:p w14:paraId="70CB551B" w14:textId="77777777" w:rsidR="00237F82" w:rsidRDefault="00237F82">
            <w:pPr>
              <w:widowControl w:val="0"/>
              <w:spacing w:after="200" w:line="276" w:lineRule="auto"/>
              <w:rPr>
                <w:rFonts w:ascii="Calibri" w:eastAsia="Calibri" w:hAnsi="Calibri" w:cs="Calibri"/>
              </w:rPr>
            </w:pPr>
          </w:p>
          <w:p w14:paraId="0E0ED90E" w14:textId="77777777" w:rsidR="00237F82" w:rsidRDefault="00237F82">
            <w:pPr>
              <w:widowControl w:val="0"/>
              <w:spacing w:after="200" w:line="276" w:lineRule="auto"/>
              <w:rPr>
                <w:rFonts w:ascii="Calibri" w:eastAsia="Calibri" w:hAnsi="Calibri" w:cs="Calibri"/>
              </w:rPr>
            </w:pPr>
          </w:p>
          <w:p w14:paraId="44B0AB44" w14:textId="438CDD33"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8A732D5"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23425891" wp14:editId="434C73B7">
                  <wp:extent cx="508000" cy="342900"/>
                  <wp:effectExtent l="0" t="0" r="0" b="0"/>
                  <wp:docPr id="114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155FB21"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Legal Framework</w:t>
            </w:r>
          </w:p>
          <w:p w14:paraId="6A901473"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00B772A8" w14:textId="77777777">
        <w:tc>
          <w:tcPr>
            <w:tcW w:w="900" w:type="dxa"/>
            <w:tcBorders>
              <w:top w:val="single" w:sz="4" w:space="0" w:color="000000"/>
              <w:left w:val="single" w:sz="4" w:space="0" w:color="000000"/>
              <w:bottom w:val="single" w:sz="4" w:space="0" w:color="000000"/>
              <w:right w:val="single" w:sz="4" w:space="0" w:color="000000"/>
            </w:tcBorders>
          </w:tcPr>
          <w:p w14:paraId="674C77EF"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7BA1E715"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Volunteer and Contractor Liability</w:t>
            </w:r>
          </w:p>
          <w:p w14:paraId="0D2B19FA"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700006E" wp14:editId="061D6AB5">
                  <wp:extent cx="2804160" cy="2103120"/>
                  <wp:effectExtent l="38100" t="38100" r="38100" b="38100"/>
                  <wp:docPr id="114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9903D59"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Volunteers and contractors can be helpful in a facility but also can create additional exposure to liability. </w:t>
            </w:r>
          </w:p>
          <w:p w14:paraId="3D8E5BA5"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This is a case where a love affair between a male supervisor (contractor) at a state driver’s license bureau and the female inmate working for him ended, and the inmate sued. </w:t>
            </w:r>
          </w:p>
          <w:p w14:paraId="195E9A64"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Who is liable, the Department of Corrections (DOC) or the </w:t>
            </w:r>
            <w:proofErr w:type="spellStart"/>
            <w:r>
              <w:rPr>
                <w:rFonts w:ascii="Calibri" w:eastAsia="Calibri" w:hAnsi="Calibri" w:cs="Calibri"/>
              </w:rPr>
              <w:t>Drivers</w:t>
            </w:r>
            <w:proofErr w:type="spellEnd"/>
            <w:r>
              <w:rPr>
                <w:rFonts w:ascii="Calibri" w:eastAsia="Calibri" w:hAnsi="Calibri" w:cs="Calibri"/>
              </w:rPr>
              <w:t xml:space="preserve"> License Bureau? The answer here is the DOC, because they gave authority over the inmate to the contractor and did not appropriately train him.</w:t>
            </w:r>
          </w:p>
        </w:tc>
        <w:tc>
          <w:tcPr>
            <w:tcW w:w="1890" w:type="dxa"/>
            <w:tcBorders>
              <w:top w:val="single" w:sz="4" w:space="0" w:color="000000"/>
              <w:left w:val="single" w:sz="4" w:space="0" w:color="000000"/>
              <w:bottom w:val="single" w:sz="4" w:space="0" w:color="000000"/>
              <w:right w:val="single" w:sz="4" w:space="0" w:color="000000"/>
            </w:tcBorders>
          </w:tcPr>
          <w:p w14:paraId="5D55B2D0"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31936710" wp14:editId="7EE5AB53">
                  <wp:extent cx="508000" cy="342900"/>
                  <wp:effectExtent l="0" t="0" r="0" b="0"/>
                  <wp:docPr id="114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BB9B027"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Volunteer and Contractor Liability</w:t>
            </w:r>
          </w:p>
          <w:p w14:paraId="5DA792CC"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787FE88E" w14:textId="77777777">
        <w:tc>
          <w:tcPr>
            <w:tcW w:w="900" w:type="dxa"/>
            <w:tcBorders>
              <w:top w:val="single" w:sz="4" w:space="0" w:color="000000"/>
              <w:left w:val="single" w:sz="4" w:space="0" w:color="000000"/>
              <w:bottom w:val="single" w:sz="4" w:space="0" w:color="000000"/>
              <w:right w:val="single" w:sz="4" w:space="0" w:color="000000"/>
            </w:tcBorders>
          </w:tcPr>
          <w:p w14:paraId="18B642A4"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23275C7B"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Volunteer and Contractor Liability</w:t>
            </w:r>
          </w:p>
          <w:p w14:paraId="3813A3ED"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BEA792D" wp14:editId="7D378E15">
                  <wp:extent cx="2804160" cy="2103120"/>
                  <wp:effectExtent l="38100" t="38100" r="38100" b="38100"/>
                  <wp:docPr id="114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48496FF"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What if the contractor had been appropriately trained? </w:t>
            </w:r>
          </w:p>
          <w:p w14:paraId="4DA19957" w14:textId="77777777" w:rsidR="002B6FD6" w:rsidRDefault="00000000">
            <w:pPr>
              <w:widowControl w:val="0"/>
              <w:numPr>
                <w:ilvl w:val="0"/>
                <w:numId w:val="3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This probably would have protected them against liability. </w:t>
            </w:r>
          </w:p>
          <w:p w14:paraId="4B847D3D" w14:textId="77777777" w:rsidR="002B6FD6" w:rsidRDefault="00000000">
            <w:pPr>
              <w:widowControl w:val="0"/>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lastRenderedPageBreak/>
              <w:t xml:space="preserve">There was another case with a </w:t>
            </w:r>
            <w:proofErr w:type="gramStart"/>
            <w:r>
              <w:rPr>
                <w:rFonts w:ascii="Calibri" w:eastAsia="Calibri" w:hAnsi="Calibri" w:cs="Calibri"/>
                <w:color w:val="000000"/>
              </w:rPr>
              <w:t>privately-contracted</w:t>
            </w:r>
            <w:proofErr w:type="gramEnd"/>
            <w:r>
              <w:rPr>
                <w:rFonts w:ascii="Calibri" w:eastAsia="Calibri" w:hAnsi="Calibri" w:cs="Calibri"/>
                <w:color w:val="000000"/>
              </w:rPr>
              <w:t xml:space="preserve"> drug treatment counselor who sexually abused an inmate. The inmate sued, but the agency could demonstrate that they had policy and training in place and that the contractor had no history of this sort of behavior. </w:t>
            </w:r>
          </w:p>
          <w:p w14:paraId="34C576CF" w14:textId="77777777" w:rsidR="002B6FD6" w:rsidRDefault="00000000">
            <w:pPr>
              <w:widowControl w:val="0"/>
              <w:numPr>
                <w:ilvl w:val="0"/>
                <w:numId w:val="5"/>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The DOC could show that they had done their best to prevent the incident and were not liable. </w:t>
            </w:r>
          </w:p>
        </w:tc>
        <w:tc>
          <w:tcPr>
            <w:tcW w:w="1890" w:type="dxa"/>
            <w:tcBorders>
              <w:top w:val="single" w:sz="4" w:space="0" w:color="000000"/>
              <w:left w:val="single" w:sz="4" w:space="0" w:color="000000"/>
              <w:bottom w:val="single" w:sz="4" w:space="0" w:color="000000"/>
              <w:right w:val="single" w:sz="4" w:space="0" w:color="000000"/>
            </w:tcBorders>
          </w:tcPr>
          <w:p w14:paraId="166BC163"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5752BA8E" wp14:editId="1BCBCE67">
                  <wp:extent cx="508000" cy="342900"/>
                  <wp:effectExtent l="0" t="0" r="0" b="0"/>
                  <wp:docPr id="114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EE6B2CE"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Volunteer and Contractor Liability</w:t>
            </w:r>
          </w:p>
          <w:p w14:paraId="33665963"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7A51BE0C" w14:textId="77777777">
        <w:tc>
          <w:tcPr>
            <w:tcW w:w="900" w:type="dxa"/>
            <w:tcBorders>
              <w:top w:val="single" w:sz="4" w:space="0" w:color="000000"/>
              <w:left w:val="single" w:sz="4" w:space="0" w:color="000000"/>
              <w:bottom w:val="single" w:sz="4" w:space="0" w:color="000000"/>
              <w:right w:val="single" w:sz="4" w:space="0" w:color="000000"/>
            </w:tcBorders>
          </w:tcPr>
          <w:p w14:paraId="5E097543"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2BE477EA"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Investigative Process</w:t>
            </w:r>
          </w:p>
          <w:p w14:paraId="76D9070C" w14:textId="77777777" w:rsidR="002B6FD6" w:rsidRDefault="00000000">
            <w:pPr>
              <w:widowControl w:val="0"/>
              <w:pBdr>
                <w:top w:val="nil"/>
                <w:left w:val="nil"/>
                <w:bottom w:val="nil"/>
                <w:right w:val="nil"/>
                <w:between w:val="nil"/>
              </w:pBdr>
              <w:spacing w:line="276" w:lineRule="auto"/>
              <w:ind w:left="882"/>
              <w:rPr>
                <w:rFonts w:ascii="Calibri" w:eastAsia="Calibri" w:hAnsi="Calibri" w:cs="Calibri"/>
                <w:b/>
                <w:color w:val="000000"/>
              </w:rPr>
            </w:pPr>
            <w:r>
              <w:rPr>
                <w:rFonts w:ascii="Calibri" w:eastAsia="Calibri" w:hAnsi="Calibri" w:cs="Calibri"/>
                <w:b/>
                <w:noProof/>
                <w:color w:val="000000"/>
              </w:rPr>
              <w:drawing>
                <wp:inline distT="0" distB="0" distL="0" distR="0" wp14:anchorId="74B9FFB6" wp14:editId="1E93CF19">
                  <wp:extent cx="2804159" cy="2103120"/>
                  <wp:effectExtent l="38100" t="38100" r="38100" b="38100"/>
                  <wp:docPr id="114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1"/>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7EF05CA7" w14:textId="77777777" w:rsidR="002B6FD6" w:rsidRDefault="00000000">
            <w:pPr>
              <w:widowControl w:val="0"/>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Within the investigative process, an agency can be sued in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different ways. An agency and investigator can be sued for false arrest or malicious prosecution if a defendant can demonstrate that the investigation was poorly done and did not provide enough evidence to arrest or prosecute. </w:t>
            </w:r>
          </w:p>
          <w:p w14:paraId="661F7843" w14:textId="77777777" w:rsidR="002B6FD6" w:rsidRDefault="00000000">
            <w:pPr>
              <w:widowControl w:val="0"/>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Additionally, there are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issues involved with undercover operations. When covertly monitoring staff, investigators need to be sure that staff could not argue there was a reasonable expectation of privacy. </w:t>
            </w:r>
          </w:p>
          <w:p w14:paraId="60559D72" w14:textId="77777777" w:rsidR="002B6FD6" w:rsidRDefault="00000000">
            <w:pPr>
              <w:widowControl w:val="0"/>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If an inmate participates, retaliation needs to be monitored for and prevented. Additionally, investigators need to make sure the incentives they use to convince an inmate to participate are appropriate. </w:t>
            </w:r>
          </w:p>
          <w:p w14:paraId="4F8608F6" w14:textId="77777777" w:rsidR="002B6FD6" w:rsidRDefault="00000000">
            <w:pPr>
              <w:widowControl w:val="0"/>
              <w:numPr>
                <w:ilvl w:val="0"/>
                <w:numId w:val="7"/>
              </w:num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 xml:space="preserve">Finally, if there was enough evidence to move forward with a prosecution but the agency chose not to proceed, this could create liability for both the investigator and the agency.  </w:t>
            </w:r>
          </w:p>
        </w:tc>
        <w:tc>
          <w:tcPr>
            <w:tcW w:w="1890" w:type="dxa"/>
            <w:tcBorders>
              <w:top w:val="single" w:sz="4" w:space="0" w:color="000000"/>
              <w:left w:val="single" w:sz="4" w:space="0" w:color="000000"/>
              <w:bottom w:val="single" w:sz="4" w:space="0" w:color="000000"/>
              <w:right w:val="single" w:sz="4" w:space="0" w:color="000000"/>
            </w:tcBorders>
          </w:tcPr>
          <w:p w14:paraId="6412AA72"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277CADCD" wp14:editId="75246264">
                  <wp:extent cx="508000" cy="342900"/>
                  <wp:effectExtent l="0" t="0" r="0" b="0"/>
                  <wp:docPr id="1140"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B21B287"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Investigative Process</w:t>
            </w:r>
          </w:p>
          <w:p w14:paraId="16CABA17"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5121A182" w14:textId="77777777">
        <w:tc>
          <w:tcPr>
            <w:tcW w:w="900" w:type="dxa"/>
            <w:tcBorders>
              <w:top w:val="single" w:sz="4" w:space="0" w:color="000000"/>
              <w:left w:val="single" w:sz="4" w:space="0" w:color="000000"/>
              <w:bottom w:val="single" w:sz="4" w:space="0" w:color="000000"/>
              <w:right w:val="single" w:sz="4" w:space="0" w:color="000000"/>
            </w:tcBorders>
          </w:tcPr>
          <w:p w14:paraId="2CF4CD51"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4675791D"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Investigative Process: Corona v. Lunn, 2002 WL 550963 (S.D.N.Y April 11, 2002)</w:t>
            </w:r>
          </w:p>
          <w:p w14:paraId="23B41B76"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0FDF9D21" wp14:editId="109BA5C7">
                  <wp:extent cx="2804160" cy="2103120"/>
                  <wp:effectExtent l="38100" t="38100" r="38100" b="38100"/>
                  <wp:docPr id="11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8E541C"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Here is an example of a case where an investigator was sued for false arrest and malicious prosecution. </w:t>
            </w:r>
          </w:p>
          <w:p w14:paraId="223D92A3" w14:textId="77777777" w:rsidR="002B6FD6" w:rsidRDefault="00000000">
            <w:pPr>
              <w:widowControl w:val="0"/>
              <w:numPr>
                <w:ilvl w:val="0"/>
                <w:numId w:val="9"/>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An allegation was made that an inmate with a history of mental illness was sexually abused by an officer.</w:t>
            </w:r>
          </w:p>
          <w:p w14:paraId="2F2F303D" w14:textId="77777777" w:rsidR="002B6FD6" w:rsidRDefault="00000000">
            <w:pPr>
              <w:widowControl w:val="0"/>
              <w:numPr>
                <w:ilvl w:val="0"/>
                <w:numId w:val="9"/>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When interviewed, the inmate initially denies it, but later </w:t>
            </w:r>
            <w:r>
              <w:rPr>
                <w:rFonts w:ascii="Calibri" w:eastAsia="Calibri" w:hAnsi="Calibri" w:cs="Calibri"/>
              </w:rPr>
              <w:t>states</w:t>
            </w:r>
            <w:r>
              <w:rPr>
                <w:rFonts w:ascii="Calibri" w:eastAsia="Calibri" w:hAnsi="Calibri" w:cs="Calibri"/>
                <w:color w:val="000000"/>
              </w:rPr>
              <w:t xml:space="preserve"> that sex did occur.  </w:t>
            </w:r>
          </w:p>
        </w:tc>
        <w:tc>
          <w:tcPr>
            <w:tcW w:w="1890" w:type="dxa"/>
            <w:tcBorders>
              <w:top w:val="single" w:sz="4" w:space="0" w:color="000000"/>
              <w:left w:val="single" w:sz="4" w:space="0" w:color="000000"/>
              <w:bottom w:val="single" w:sz="4" w:space="0" w:color="000000"/>
              <w:right w:val="single" w:sz="4" w:space="0" w:color="000000"/>
            </w:tcBorders>
          </w:tcPr>
          <w:p w14:paraId="405A5067"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3E336BE8" wp14:editId="55BF67FD">
                  <wp:extent cx="508000" cy="342900"/>
                  <wp:effectExtent l="0" t="0" r="0" b="0"/>
                  <wp:docPr id="1120"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3CB5AC1"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Investigative Process</w:t>
            </w:r>
          </w:p>
          <w:p w14:paraId="0B658811" w14:textId="77777777" w:rsidR="002B6FD6" w:rsidRDefault="002B6FD6">
            <w:pPr>
              <w:tabs>
                <w:tab w:val="left" w:pos="7290"/>
              </w:tabs>
              <w:rPr>
                <w:rFonts w:ascii="Calibri" w:eastAsia="Calibri" w:hAnsi="Calibri" w:cs="Calibri"/>
                <w:b/>
                <w:color w:val="336600"/>
                <w:sz w:val="20"/>
                <w:szCs w:val="20"/>
              </w:rPr>
            </w:pPr>
          </w:p>
        </w:tc>
      </w:tr>
      <w:tr w:rsidR="002B6FD6" w14:paraId="0DF78108" w14:textId="77777777">
        <w:tc>
          <w:tcPr>
            <w:tcW w:w="900" w:type="dxa"/>
            <w:tcBorders>
              <w:top w:val="single" w:sz="4" w:space="0" w:color="000000"/>
              <w:left w:val="single" w:sz="4" w:space="0" w:color="000000"/>
              <w:bottom w:val="single" w:sz="4" w:space="0" w:color="000000"/>
              <w:right w:val="single" w:sz="4" w:space="0" w:color="000000"/>
            </w:tcBorders>
          </w:tcPr>
          <w:p w14:paraId="123DCDF3"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68128EF5"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Investigative Process: Corona v. Lunn, 2002 WL 550963 (S.D.N.Y April 11, 2002)</w:t>
            </w:r>
          </w:p>
          <w:p w14:paraId="2B03493D"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2B054468" wp14:editId="041E080D">
                  <wp:extent cx="2804160" cy="2103120"/>
                  <wp:effectExtent l="38100" t="38100" r="38100" b="38100"/>
                  <wp:docPr id="11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381D62C8"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The investigator corroborated some details provided by the inmate and filed a felony case against the officer. After a jury trial, the officer was acquitted and reinstated with back pay. He then sued for false arrest and malicious prosecution. </w:t>
            </w:r>
          </w:p>
        </w:tc>
        <w:tc>
          <w:tcPr>
            <w:tcW w:w="1890" w:type="dxa"/>
            <w:tcBorders>
              <w:top w:val="single" w:sz="4" w:space="0" w:color="000000"/>
              <w:left w:val="single" w:sz="4" w:space="0" w:color="000000"/>
              <w:bottom w:val="single" w:sz="4" w:space="0" w:color="000000"/>
              <w:right w:val="single" w:sz="4" w:space="0" w:color="000000"/>
            </w:tcBorders>
          </w:tcPr>
          <w:p w14:paraId="5A636048"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0F278C07" wp14:editId="7B33AFF2">
                  <wp:extent cx="508000" cy="342900"/>
                  <wp:effectExtent l="0" t="0" r="0" b="0"/>
                  <wp:docPr id="112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1718AE4"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Investigative Process</w:t>
            </w:r>
          </w:p>
          <w:p w14:paraId="6BEA1369"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7509FC48" w14:textId="77777777">
        <w:tc>
          <w:tcPr>
            <w:tcW w:w="900" w:type="dxa"/>
            <w:tcBorders>
              <w:top w:val="single" w:sz="4" w:space="0" w:color="000000"/>
              <w:left w:val="single" w:sz="4" w:space="0" w:color="000000"/>
              <w:bottom w:val="single" w:sz="4" w:space="0" w:color="000000"/>
              <w:right w:val="single" w:sz="4" w:space="0" w:color="000000"/>
            </w:tcBorders>
          </w:tcPr>
          <w:p w14:paraId="6B1DDA4F"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734CF0B2"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Investigative Process Standards</w:t>
            </w:r>
          </w:p>
          <w:p w14:paraId="69BAE15C" w14:textId="77777777" w:rsidR="002B6FD6" w:rsidRDefault="00000000">
            <w:pPr>
              <w:widowControl w:val="0"/>
              <w:spacing w:after="200" w:line="276" w:lineRule="auto"/>
              <w:jc w:val="center"/>
              <w:rPr>
                <w:rFonts w:ascii="Calibri" w:eastAsia="Calibri" w:hAnsi="Calibri" w:cs="Calibri"/>
              </w:rPr>
            </w:pPr>
            <w:r>
              <w:rPr>
                <w:rFonts w:ascii="Calibri" w:eastAsia="Calibri" w:hAnsi="Calibri" w:cs="Calibri"/>
                <w:noProof/>
              </w:rPr>
              <w:drawing>
                <wp:inline distT="0" distB="0" distL="0" distR="0" wp14:anchorId="08F1DB17" wp14:editId="416EC4B7">
                  <wp:extent cx="2804161" cy="2103120"/>
                  <wp:effectExtent l="38100" t="38100" r="38100" b="38100"/>
                  <wp:docPr id="112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4"/>
                          <a:srcRect/>
                          <a:stretch>
                            <a:fillRect/>
                          </a:stretch>
                        </pic:blipFill>
                        <pic:spPr>
                          <a:xfrm>
                            <a:off x="0" y="0"/>
                            <a:ext cx="2804161" cy="2103120"/>
                          </a:xfrm>
                          <a:prstGeom prst="rect">
                            <a:avLst/>
                          </a:prstGeom>
                          <a:ln w="38100">
                            <a:solidFill>
                              <a:srgbClr val="000000"/>
                            </a:solidFill>
                            <a:prstDash val="solid"/>
                          </a:ln>
                        </pic:spPr>
                      </pic:pic>
                    </a:graphicData>
                  </a:graphic>
                </wp:inline>
              </w:drawing>
            </w:r>
          </w:p>
          <w:p w14:paraId="41647AA3"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A false arrest requires there to be no probable cause to make allegations against the defendant. Malicious prosecution is the commencement or continuation of criminal proceedings without probable cause. </w:t>
            </w:r>
          </w:p>
          <w:p w14:paraId="46C18E7D"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Normally, if there is probable cause for arrest, there is probable cause for prosecution, so a malicious prosecution claim would require some additional evidence to have surfaced if it were to be made in isolation.</w:t>
            </w:r>
          </w:p>
        </w:tc>
        <w:tc>
          <w:tcPr>
            <w:tcW w:w="1890" w:type="dxa"/>
            <w:tcBorders>
              <w:top w:val="single" w:sz="4" w:space="0" w:color="000000"/>
              <w:left w:val="single" w:sz="4" w:space="0" w:color="000000"/>
              <w:bottom w:val="single" w:sz="4" w:space="0" w:color="000000"/>
              <w:right w:val="single" w:sz="4" w:space="0" w:color="000000"/>
            </w:tcBorders>
          </w:tcPr>
          <w:p w14:paraId="0A8431FF"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517D85A2" wp14:editId="577C79EE">
                  <wp:extent cx="508000" cy="342900"/>
                  <wp:effectExtent l="0" t="0" r="0" b="0"/>
                  <wp:docPr id="111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0C7EBC49"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Investigative Process Standards</w:t>
            </w:r>
          </w:p>
        </w:tc>
      </w:tr>
      <w:tr w:rsidR="002B6FD6" w14:paraId="3F1982D0" w14:textId="77777777">
        <w:tc>
          <w:tcPr>
            <w:tcW w:w="900" w:type="dxa"/>
            <w:tcBorders>
              <w:top w:val="single" w:sz="4" w:space="0" w:color="000000"/>
              <w:left w:val="single" w:sz="4" w:space="0" w:color="000000"/>
              <w:bottom w:val="single" w:sz="4" w:space="0" w:color="000000"/>
              <w:right w:val="single" w:sz="4" w:space="0" w:color="000000"/>
            </w:tcBorders>
          </w:tcPr>
          <w:p w14:paraId="1B20461A"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402E154F"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Investigative Process: Corona v. Lunn, 2002 WL 550963 (S.D.N.Y April 11, 2002)</w:t>
            </w:r>
          </w:p>
          <w:p w14:paraId="42F44493"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5D5E96BF" wp14:editId="10C9FDD3">
                  <wp:extent cx="2804160" cy="2103120"/>
                  <wp:effectExtent l="38100" t="38100" r="38100" b="38100"/>
                  <wp:docPr id="111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FF7A32E" w14:textId="77777777" w:rsidR="002B6FD6" w:rsidRDefault="00000000">
            <w:pPr>
              <w:widowControl w:val="0"/>
              <w:numPr>
                <w:ilvl w:val="0"/>
                <w:numId w:val="1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In this case, it was determined that the investigator had probable cause. An informant’s mental health history does not delegitimize his/her testimony. Additionally, the investigator corroborated the inmate’s testimony in </w:t>
            </w:r>
            <w:r>
              <w:rPr>
                <w:rFonts w:ascii="Calibri" w:eastAsia="Calibri" w:hAnsi="Calibri" w:cs="Calibri"/>
                <w:color w:val="000000"/>
              </w:rPr>
              <w:lastRenderedPageBreak/>
              <w:t xml:space="preserve">other ways. </w:t>
            </w:r>
          </w:p>
          <w:p w14:paraId="4A3BE524" w14:textId="77777777" w:rsidR="002B6FD6" w:rsidRDefault="00000000">
            <w:pPr>
              <w:widowControl w:val="0"/>
              <w:numPr>
                <w:ilvl w:val="0"/>
                <w:numId w:val="1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This meets the standard: It was objectively reasonable to believe that probable cause existed. This also means that two reasonable investigators could disagree over whether probable cause existed. </w:t>
            </w:r>
          </w:p>
          <w:p w14:paraId="76D27037" w14:textId="77777777" w:rsidR="002B6FD6" w:rsidRDefault="00000000">
            <w:pPr>
              <w:widowControl w:val="0"/>
              <w:numPr>
                <w:ilvl w:val="0"/>
                <w:numId w:val="11"/>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The malicious prosecution claim was not upheld because probable cause was found for the initial arrest, and no new evidence had surfaced before the prosecution.</w:t>
            </w:r>
          </w:p>
        </w:tc>
        <w:tc>
          <w:tcPr>
            <w:tcW w:w="1890" w:type="dxa"/>
            <w:tcBorders>
              <w:top w:val="single" w:sz="4" w:space="0" w:color="000000"/>
              <w:left w:val="single" w:sz="4" w:space="0" w:color="000000"/>
              <w:bottom w:val="single" w:sz="4" w:space="0" w:color="000000"/>
              <w:right w:val="single" w:sz="4" w:space="0" w:color="000000"/>
            </w:tcBorders>
          </w:tcPr>
          <w:p w14:paraId="0227DB88"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301B325D" wp14:editId="1E67E1CB">
                  <wp:extent cx="508000" cy="342900"/>
                  <wp:effectExtent l="0" t="0" r="0" b="0"/>
                  <wp:docPr id="111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E1D9319"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Investigative Process</w:t>
            </w:r>
          </w:p>
          <w:p w14:paraId="5FA103BE"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608A37E5" w14:textId="77777777">
        <w:tc>
          <w:tcPr>
            <w:tcW w:w="900" w:type="dxa"/>
            <w:tcBorders>
              <w:top w:val="single" w:sz="4" w:space="0" w:color="000000"/>
              <w:left w:val="single" w:sz="4" w:space="0" w:color="000000"/>
              <w:bottom w:val="single" w:sz="4" w:space="0" w:color="000000"/>
              <w:right w:val="single" w:sz="4" w:space="0" w:color="000000"/>
            </w:tcBorders>
          </w:tcPr>
          <w:p w14:paraId="50BC49E4"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626B91FB"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Sting Operations: Sanchez-Luna v. U.S. (Dec. 2004)</w:t>
            </w:r>
          </w:p>
          <w:p w14:paraId="53CC4870"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24DF194" wp14:editId="53398385">
                  <wp:extent cx="2804160" cy="2103120"/>
                  <wp:effectExtent l="38100" t="38100" r="38100" b="38100"/>
                  <wp:docPr id="11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F03CCFF"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Sting operations are also areas of potential liability. </w:t>
            </w:r>
          </w:p>
          <w:p w14:paraId="2FDC4A73" w14:textId="77777777" w:rsidR="002B6FD6" w:rsidRDefault="00000000">
            <w:pPr>
              <w:widowControl w:val="0"/>
              <w:numPr>
                <w:ilvl w:val="0"/>
                <w:numId w:val="3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In this case, they used a female offender to catch an officer in the act of sexual abuse. </w:t>
            </w:r>
          </w:p>
          <w:p w14:paraId="06AB19E1" w14:textId="77777777" w:rsidR="002B6FD6" w:rsidRDefault="00000000">
            <w:pPr>
              <w:widowControl w:val="0"/>
              <w:numPr>
                <w:ilvl w:val="0"/>
                <w:numId w:val="12"/>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The female offender cooperated with the investigation, and the officer incriminated himself. The problem here is that instead of just videotaping the mandatory minimum amount of activity, the camera kept rolling and investigators did not stop the abuse.</w:t>
            </w:r>
          </w:p>
          <w:p w14:paraId="13A26F87"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003AE4C1"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682B9F08"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27A581EB"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p w14:paraId="3120E243" w14:textId="77777777" w:rsidR="00237F82" w:rsidRDefault="00237F82" w:rsidP="00237F82">
            <w:pPr>
              <w:widowControl w:val="0"/>
              <w:pBdr>
                <w:top w:val="nil"/>
                <w:left w:val="nil"/>
                <w:bottom w:val="nil"/>
                <w:right w:val="nil"/>
                <w:between w:val="nil"/>
              </w:pBdr>
              <w:spacing w:after="200" w:line="276" w:lineRule="auto"/>
              <w:rPr>
                <w:rFonts w:ascii="Calibri" w:eastAsia="Calibri" w:hAnsi="Calibri" w:cs="Calibri"/>
                <w:color w:val="000000"/>
              </w:rPr>
            </w:pPr>
          </w:p>
        </w:tc>
        <w:tc>
          <w:tcPr>
            <w:tcW w:w="1890" w:type="dxa"/>
            <w:tcBorders>
              <w:top w:val="single" w:sz="4" w:space="0" w:color="000000"/>
              <w:left w:val="single" w:sz="4" w:space="0" w:color="000000"/>
              <w:bottom w:val="single" w:sz="4" w:space="0" w:color="000000"/>
              <w:right w:val="single" w:sz="4" w:space="0" w:color="000000"/>
            </w:tcBorders>
          </w:tcPr>
          <w:p w14:paraId="5594FEED"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60776D77" wp14:editId="60AF5A80">
                  <wp:extent cx="508000" cy="342900"/>
                  <wp:effectExtent l="0" t="0" r="0" b="0"/>
                  <wp:docPr id="111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004BB17"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Sting Operations</w:t>
            </w:r>
          </w:p>
        </w:tc>
      </w:tr>
      <w:tr w:rsidR="002B6FD6" w14:paraId="3956AFC4" w14:textId="77777777">
        <w:tc>
          <w:tcPr>
            <w:tcW w:w="900" w:type="dxa"/>
            <w:tcBorders>
              <w:top w:val="single" w:sz="4" w:space="0" w:color="000000"/>
              <w:left w:val="single" w:sz="4" w:space="0" w:color="000000"/>
              <w:bottom w:val="single" w:sz="4" w:space="0" w:color="000000"/>
              <w:right w:val="single" w:sz="4" w:space="0" w:color="000000"/>
            </w:tcBorders>
          </w:tcPr>
          <w:p w14:paraId="318F4487"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 xml:space="preserve">1 min     </w:t>
            </w:r>
          </w:p>
        </w:tc>
        <w:tc>
          <w:tcPr>
            <w:tcW w:w="6570" w:type="dxa"/>
            <w:tcBorders>
              <w:top w:val="single" w:sz="4" w:space="0" w:color="000000"/>
              <w:left w:val="single" w:sz="4" w:space="0" w:color="000000"/>
              <w:bottom w:val="single" w:sz="4" w:space="0" w:color="000000"/>
              <w:right w:val="single" w:sz="4" w:space="0" w:color="000000"/>
            </w:tcBorders>
          </w:tcPr>
          <w:p w14:paraId="6044BDF1"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Result of Litigation: Sanchez-Luna v. U.S. (Dec. 2004)</w:t>
            </w:r>
          </w:p>
          <w:p w14:paraId="4837AAA8"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22FCC66" wp14:editId="3EC12E1C">
                  <wp:extent cx="2804160" cy="2103120"/>
                  <wp:effectExtent l="38100" t="38100" r="38100" b="38100"/>
                  <wp:docPr id="113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A9ABC49" w14:textId="77777777" w:rsidR="002B6FD6" w:rsidRDefault="00000000">
            <w:pPr>
              <w:widowControl w:val="0"/>
              <w:numPr>
                <w:ilvl w:val="0"/>
                <w:numId w:val="1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So, the inmate </w:t>
            </w:r>
            <w:proofErr w:type="gramStart"/>
            <w:r>
              <w:rPr>
                <w:rFonts w:ascii="Calibri" w:eastAsia="Calibri" w:hAnsi="Calibri" w:cs="Calibri"/>
                <w:color w:val="000000"/>
              </w:rPr>
              <w:t>sues</w:t>
            </w:r>
            <w:proofErr w:type="gramEnd"/>
            <w:r>
              <w:rPr>
                <w:rFonts w:ascii="Calibri" w:eastAsia="Calibri" w:hAnsi="Calibri" w:cs="Calibri"/>
                <w:color w:val="000000"/>
              </w:rPr>
              <w:t xml:space="preserve">. </w:t>
            </w:r>
          </w:p>
          <w:p w14:paraId="3D35FA69" w14:textId="77777777" w:rsidR="002B6FD6" w:rsidRDefault="00000000">
            <w:pPr>
              <w:widowControl w:val="0"/>
              <w:numPr>
                <w:ilvl w:val="0"/>
                <w:numId w:val="13"/>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The point here is that the minute you start to see the incriminating behavior, you have enough evidence and can stop filming.</w:t>
            </w:r>
          </w:p>
        </w:tc>
        <w:tc>
          <w:tcPr>
            <w:tcW w:w="1890" w:type="dxa"/>
            <w:tcBorders>
              <w:top w:val="single" w:sz="4" w:space="0" w:color="000000"/>
              <w:left w:val="single" w:sz="4" w:space="0" w:color="000000"/>
              <w:bottom w:val="single" w:sz="4" w:space="0" w:color="000000"/>
              <w:right w:val="single" w:sz="4" w:space="0" w:color="000000"/>
            </w:tcBorders>
          </w:tcPr>
          <w:p w14:paraId="5AD46955"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1412C5D6" wp14:editId="2F3C582B">
                  <wp:extent cx="508000" cy="342900"/>
                  <wp:effectExtent l="0" t="0" r="0" b="0"/>
                  <wp:docPr id="113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21D9BDE5"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Result of Litigation</w:t>
            </w:r>
          </w:p>
        </w:tc>
      </w:tr>
      <w:tr w:rsidR="002B6FD6" w14:paraId="5FB5472D" w14:textId="77777777">
        <w:tc>
          <w:tcPr>
            <w:tcW w:w="900" w:type="dxa"/>
            <w:tcBorders>
              <w:top w:val="single" w:sz="4" w:space="0" w:color="000000"/>
              <w:left w:val="single" w:sz="4" w:space="0" w:color="000000"/>
              <w:bottom w:val="single" w:sz="4" w:space="0" w:color="000000"/>
              <w:right w:val="single" w:sz="4" w:space="0" w:color="000000"/>
            </w:tcBorders>
          </w:tcPr>
          <w:p w14:paraId="4DA1C72C"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5262BC13"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Elements of Failure to Protect</w:t>
            </w:r>
          </w:p>
          <w:p w14:paraId="30D5FD9E" w14:textId="77777777" w:rsidR="002B6FD6" w:rsidRDefault="00000000">
            <w:pPr>
              <w:widowControl w:val="0"/>
              <w:spacing w:after="200" w:line="276" w:lineRule="auto"/>
              <w:jc w:val="center"/>
              <w:rPr>
                <w:rFonts w:ascii="Calibri" w:eastAsia="Calibri" w:hAnsi="Calibri" w:cs="Calibri"/>
              </w:rPr>
            </w:pPr>
            <w:r>
              <w:rPr>
                <w:rFonts w:ascii="Calibri" w:eastAsia="Calibri" w:hAnsi="Calibri" w:cs="Calibri"/>
                <w:noProof/>
              </w:rPr>
              <w:drawing>
                <wp:inline distT="0" distB="0" distL="0" distR="0" wp14:anchorId="390F30A7" wp14:editId="16CA5801">
                  <wp:extent cx="2804161" cy="2103120"/>
                  <wp:effectExtent l="38100" t="38100" r="38100" b="38100"/>
                  <wp:docPr id="113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8"/>
                          <a:srcRect/>
                          <a:stretch>
                            <a:fillRect/>
                          </a:stretch>
                        </pic:blipFill>
                        <pic:spPr>
                          <a:xfrm>
                            <a:off x="0" y="0"/>
                            <a:ext cx="2804161" cy="2103120"/>
                          </a:xfrm>
                          <a:prstGeom prst="rect">
                            <a:avLst/>
                          </a:prstGeom>
                          <a:ln w="38100">
                            <a:solidFill>
                              <a:srgbClr val="000000"/>
                            </a:solidFill>
                            <a:prstDash val="solid"/>
                          </a:ln>
                        </pic:spPr>
                      </pic:pic>
                    </a:graphicData>
                  </a:graphic>
                </wp:inline>
              </w:drawing>
            </w:r>
          </w:p>
          <w:p w14:paraId="3DD202EF"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Failure to protect is an important claim within corrections. It requires that a facility official knows that an inmate faces a substantial risk of serious </w:t>
            </w:r>
            <w:proofErr w:type="gramStart"/>
            <w:r>
              <w:rPr>
                <w:rFonts w:ascii="Calibri" w:eastAsia="Calibri" w:hAnsi="Calibri" w:cs="Calibri"/>
              </w:rPr>
              <w:t>harm, but</w:t>
            </w:r>
            <w:proofErr w:type="gramEnd"/>
            <w:r>
              <w:rPr>
                <w:rFonts w:ascii="Calibri" w:eastAsia="Calibri" w:hAnsi="Calibri" w:cs="Calibri"/>
              </w:rPr>
              <w:t xml:space="preserve"> fails to take reasonable steps to protect him or her.</w:t>
            </w:r>
          </w:p>
          <w:p w14:paraId="4A422A59" w14:textId="77777777" w:rsidR="005841D1" w:rsidRDefault="005841D1">
            <w:pPr>
              <w:widowControl w:val="0"/>
              <w:spacing w:after="200" w:line="276" w:lineRule="auto"/>
              <w:rPr>
                <w:rFonts w:ascii="Calibri" w:eastAsia="Calibri" w:hAnsi="Calibri" w:cs="Calibri"/>
              </w:rPr>
            </w:pPr>
          </w:p>
          <w:p w14:paraId="566C13F8" w14:textId="77777777" w:rsidR="005841D1" w:rsidRDefault="005841D1">
            <w:pPr>
              <w:widowControl w:val="0"/>
              <w:spacing w:after="200" w:line="276" w:lineRule="auto"/>
              <w:rPr>
                <w:rFonts w:ascii="Calibri" w:eastAsia="Calibri" w:hAnsi="Calibri" w:cs="Calibri"/>
              </w:rPr>
            </w:pPr>
          </w:p>
          <w:p w14:paraId="1C6F72A3" w14:textId="77777777" w:rsidR="005841D1" w:rsidRDefault="005841D1">
            <w:pPr>
              <w:widowControl w:val="0"/>
              <w:spacing w:after="200" w:line="276" w:lineRule="auto"/>
              <w:rPr>
                <w:rFonts w:ascii="Calibri" w:eastAsia="Calibri" w:hAnsi="Calibri" w:cs="Calibri"/>
              </w:rPr>
            </w:pPr>
          </w:p>
        </w:tc>
        <w:tc>
          <w:tcPr>
            <w:tcW w:w="1890" w:type="dxa"/>
            <w:tcBorders>
              <w:top w:val="single" w:sz="4" w:space="0" w:color="000000"/>
              <w:left w:val="single" w:sz="4" w:space="0" w:color="000000"/>
              <w:bottom w:val="single" w:sz="4" w:space="0" w:color="000000"/>
              <w:right w:val="single" w:sz="4" w:space="0" w:color="000000"/>
            </w:tcBorders>
          </w:tcPr>
          <w:p w14:paraId="7A8DA1B1"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6B9ECFF7" wp14:editId="469D1A03">
                  <wp:extent cx="508000" cy="342900"/>
                  <wp:effectExtent l="0" t="0" r="0" b="0"/>
                  <wp:docPr id="112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2680F245"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Elements of Failure to Protect</w:t>
            </w:r>
          </w:p>
          <w:p w14:paraId="3BDB1B5B" w14:textId="77777777" w:rsidR="002B6FD6" w:rsidRDefault="002B6FD6">
            <w:pPr>
              <w:tabs>
                <w:tab w:val="left" w:pos="420"/>
                <w:tab w:val="center" w:pos="1062"/>
                <w:tab w:val="left" w:pos="7290"/>
              </w:tabs>
              <w:rPr>
                <w:rFonts w:ascii="Calibri" w:eastAsia="Calibri" w:hAnsi="Calibri" w:cs="Calibri"/>
                <w:b/>
                <w:color w:val="336600"/>
                <w:sz w:val="20"/>
                <w:szCs w:val="20"/>
              </w:rPr>
            </w:pPr>
          </w:p>
        </w:tc>
      </w:tr>
      <w:tr w:rsidR="002B6FD6" w14:paraId="765FD31D" w14:textId="77777777">
        <w:tc>
          <w:tcPr>
            <w:tcW w:w="900" w:type="dxa"/>
            <w:tcBorders>
              <w:top w:val="single" w:sz="4" w:space="0" w:color="000000"/>
              <w:left w:val="single" w:sz="4" w:space="0" w:color="000000"/>
              <w:bottom w:val="single" w:sz="4" w:space="0" w:color="000000"/>
              <w:right w:val="single" w:sz="4" w:space="0" w:color="000000"/>
            </w:tcBorders>
          </w:tcPr>
          <w:p w14:paraId="48787060"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4F7BE35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Failure to Protect: Brown v. Scott, 329 F.Supp.2d 905 (E.D. Mich. 2004)</w:t>
            </w:r>
          </w:p>
          <w:p w14:paraId="5ECDAA51"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3FBB27E" wp14:editId="39FB579A">
                  <wp:extent cx="2804160" cy="2103120"/>
                  <wp:effectExtent l="38100" t="38100" r="38100" b="38100"/>
                  <wp:docPr id="113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30BCF3A"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This is a case in Michigan where an inmate went to his unit manager and said, “Look, I’ve been told that my cellmate is a predatory homosexual rapist.”  However, nothing was done to protect the inmate, and he was raped three days later.</w:t>
            </w:r>
          </w:p>
        </w:tc>
        <w:tc>
          <w:tcPr>
            <w:tcW w:w="1890" w:type="dxa"/>
            <w:tcBorders>
              <w:top w:val="single" w:sz="4" w:space="0" w:color="000000"/>
              <w:left w:val="single" w:sz="4" w:space="0" w:color="000000"/>
              <w:bottom w:val="single" w:sz="4" w:space="0" w:color="000000"/>
              <w:right w:val="single" w:sz="4" w:space="0" w:color="000000"/>
            </w:tcBorders>
          </w:tcPr>
          <w:p w14:paraId="4719A9D4"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7A5C81E3" wp14:editId="49EFE497">
                  <wp:extent cx="508000" cy="342900"/>
                  <wp:effectExtent l="0" t="0" r="0" b="0"/>
                  <wp:docPr id="113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E9507FA" w14:textId="77777777" w:rsidR="002B6FD6" w:rsidRDefault="00000000">
            <w:pPr>
              <w:tabs>
                <w:tab w:val="left" w:pos="420"/>
                <w:tab w:val="center" w:pos="1062"/>
                <w:tab w:val="left" w:pos="7290"/>
              </w:tabs>
              <w:rPr>
                <w:rFonts w:ascii="Calibri" w:eastAsia="Calibri" w:hAnsi="Calibri" w:cs="Calibri"/>
                <w:b/>
                <w:color w:val="336600"/>
                <w:sz w:val="20"/>
                <w:szCs w:val="20"/>
              </w:rPr>
            </w:pPr>
            <w:r>
              <w:rPr>
                <w:rFonts w:ascii="Calibri" w:eastAsia="Calibri" w:hAnsi="Calibri" w:cs="Calibri"/>
                <w:b/>
                <w:sz w:val="20"/>
                <w:szCs w:val="20"/>
              </w:rPr>
              <w:t>Failure to Protect</w:t>
            </w:r>
          </w:p>
        </w:tc>
      </w:tr>
      <w:tr w:rsidR="002B6FD6" w14:paraId="3D7AE000" w14:textId="77777777">
        <w:tc>
          <w:tcPr>
            <w:tcW w:w="900" w:type="dxa"/>
            <w:tcBorders>
              <w:top w:val="single" w:sz="4" w:space="0" w:color="000000"/>
              <w:left w:val="single" w:sz="4" w:space="0" w:color="000000"/>
              <w:bottom w:val="single" w:sz="4" w:space="0" w:color="000000"/>
              <w:right w:val="single" w:sz="4" w:space="0" w:color="000000"/>
            </w:tcBorders>
          </w:tcPr>
          <w:p w14:paraId="553302CF"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20FFA208"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Failure to Protect: Brown v. Scott, 329 F.Supp.2d 905 (E.D. Mich. 2004)</w:t>
            </w:r>
          </w:p>
          <w:p w14:paraId="09F7D6CA"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32149E7" wp14:editId="7F1CDC9C">
                  <wp:extent cx="2804160" cy="2103120"/>
                  <wp:effectExtent l="38100" t="38100" r="38100" b="38100"/>
                  <wp:docPr id="112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3F7BA9C" w14:textId="77777777" w:rsidR="002B6FD6" w:rsidRDefault="00000000">
            <w:pPr>
              <w:widowControl w:val="0"/>
              <w:numPr>
                <w:ilvl w:val="0"/>
                <w:numId w:val="29"/>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The defense for the case was that the cellmate was not designated as a “predator” because he did not have a conviction.</w:t>
            </w:r>
          </w:p>
          <w:p w14:paraId="51BEA120" w14:textId="77777777" w:rsidR="002B6FD6" w:rsidRDefault="00000000">
            <w:pPr>
              <w:widowControl w:val="0"/>
              <w:numPr>
                <w:ilvl w:val="0"/>
                <w:numId w:val="29"/>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unit manager asked the inmate if he had been threatened, and he said no. The inmate also did not ask for protection, just for a cell change. </w:t>
            </w:r>
          </w:p>
          <w:p w14:paraId="19383A25" w14:textId="77777777" w:rsidR="002B6FD6" w:rsidRDefault="00000000">
            <w:pPr>
              <w:widowControl w:val="0"/>
              <w:numPr>
                <w:ilvl w:val="0"/>
                <w:numId w:val="29"/>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Why do you think that was? Because he did not want to </w:t>
            </w:r>
            <w:r>
              <w:rPr>
                <w:rFonts w:ascii="Calibri" w:eastAsia="Calibri" w:hAnsi="Calibri" w:cs="Calibri"/>
                <w:color w:val="000000"/>
              </w:rPr>
              <w:lastRenderedPageBreak/>
              <w:t>go to segregation.</w:t>
            </w:r>
          </w:p>
        </w:tc>
        <w:tc>
          <w:tcPr>
            <w:tcW w:w="1890" w:type="dxa"/>
            <w:tcBorders>
              <w:top w:val="single" w:sz="4" w:space="0" w:color="000000"/>
              <w:left w:val="single" w:sz="4" w:space="0" w:color="000000"/>
              <w:bottom w:val="single" w:sz="4" w:space="0" w:color="000000"/>
              <w:right w:val="single" w:sz="4" w:space="0" w:color="000000"/>
            </w:tcBorders>
          </w:tcPr>
          <w:p w14:paraId="1D1B580A"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114847A2" wp14:editId="1CF0C82D">
                  <wp:extent cx="508000" cy="342900"/>
                  <wp:effectExtent l="0" t="0" r="0" b="0"/>
                  <wp:docPr id="1124"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D0D2CC2"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sz w:val="20"/>
                <w:szCs w:val="20"/>
              </w:rPr>
              <w:t>Failure to Protect</w:t>
            </w:r>
          </w:p>
        </w:tc>
      </w:tr>
      <w:tr w:rsidR="002B6FD6" w14:paraId="55DD6B2D" w14:textId="77777777">
        <w:tc>
          <w:tcPr>
            <w:tcW w:w="900" w:type="dxa"/>
            <w:tcBorders>
              <w:top w:val="single" w:sz="4" w:space="0" w:color="000000"/>
              <w:left w:val="single" w:sz="4" w:space="0" w:color="000000"/>
              <w:bottom w:val="single" w:sz="4" w:space="0" w:color="000000"/>
              <w:right w:val="single" w:sz="4" w:space="0" w:color="000000"/>
            </w:tcBorders>
          </w:tcPr>
          <w:p w14:paraId="2DF02B74"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71BFD79B"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Failure to Protect: Brown v. Scott, 329 F.Supp.2d 905 (E.D. Mich. 2004)</w:t>
            </w:r>
          </w:p>
          <w:p w14:paraId="67BF46AC"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5C3C3446" wp14:editId="0CAE37AD">
                  <wp:extent cx="2804160" cy="2103120"/>
                  <wp:effectExtent l="38100" t="38100" r="38100" b="38100"/>
                  <wp:docPr id="112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30072DF2" w14:textId="77777777" w:rsidR="002B6FD6" w:rsidRDefault="00000000">
            <w:pPr>
              <w:widowControl w:val="0"/>
              <w:numPr>
                <w:ilvl w:val="0"/>
                <w:numId w:val="3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court determined that there would be no summary judgment and allowed the case to proceed. Soon thereafter, more information was revealed. The cellmate was part of a group of inmates known for predatory behavior, and the inmate’s case manager was not informed of the inmate’s concern. </w:t>
            </w:r>
          </w:p>
          <w:p w14:paraId="1E7A6140" w14:textId="77777777" w:rsidR="002B6FD6" w:rsidRDefault="00000000">
            <w:pPr>
              <w:widowControl w:val="0"/>
              <w:numPr>
                <w:ilvl w:val="0"/>
                <w:numId w:val="30"/>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What sort of information should be shared across the facility? What kinds of screening tools should be used when making housing placements?</w:t>
            </w:r>
          </w:p>
        </w:tc>
        <w:tc>
          <w:tcPr>
            <w:tcW w:w="1890" w:type="dxa"/>
            <w:tcBorders>
              <w:top w:val="single" w:sz="4" w:space="0" w:color="000000"/>
              <w:left w:val="single" w:sz="4" w:space="0" w:color="000000"/>
              <w:bottom w:val="single" w:sz="4" w:space="0" w:color="000000"/>
              <w:right w:val="single" w:sz="4" w:space="0" w:color="000000"/>
            </w:tcBorders>
          </w:tcPr>
          <w:p w14:paraId="57F1A0E7"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129A9DF3" wp14:editId="50AA2C4C">
                  <wp:extent cx="508000" cy="342900"/>
                  <wp:effectExtent l="0" t="0" r="0" b="0"/>
                  <wp:docPr id="112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BB690C9"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sz w:val="20"/>
                <w:szCs w:val="20"/>
              </w:rPr>
              <w:t>Failure to Protect</w:t>
            </w:r>
          </w:p>
        </w:tc>
      </w:tr>
      <w:tr w:rsidR="002B6FD6" w14:paraId="20345369" w14:textId="77777777">
        <w:tc>
          <w:tcPr>
            <w:tcW w:w="900" w:type="dxa"/>
            <w:tcBorders>
              <w:top w:val="single" w:sz="4" w:space="0" w:color="000000"/>
              <w:left w:val="single" w:sz="4" w:space="0" w:color="000000"/>
              <w:bottom w:val="single" w:sz="4" w:space="0" w:color="000000"/>
              <w:right w:val="single" w:sz="4" w:space="0" w:color="000000"/>
            </w:tcBorders>
          </w:tcPr>
          <w:p w14:paraId="2A657670"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117D7F68"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The 4</w:t>
            </w:r>
            <w:r>
              <w:rPr>
                <w:rFonts w:ascii="Calibri" w:eastAsia="Calibri" w:hAnsi="Calibri" w:cs="Calibri"/>
                <w:b/>
                <w:color w:val="000000"/>
                <w:vertAlign w:val="superscript"/>
              </w:rPr>
              <w:t>th</w:t>
            </w:r>
            <w:r>
              <w:rPr>
                <w:rFonts w:ascii="Calibri" w:eastAsia="Calibri" w:hAnsi="Calibri" w:cs="Calibri"/>
                <w:b/>
                <w:color w:val="000000"/>
              </w:rPr>
              <w:t xml:space="preserve"> Amendment</w:t>
            </w:r>
          </w:p>
          <w:p w14:paraId="168D6EA8"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2B724237" wp14:editId="59631351">
                  <wp:extent cx="2804160" cy="2103120"/>
                  <wp:effectExtent l="38100" t="38100" r="38100" b="38100"/>
                  <wp:docPr id="109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ADAED82"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 xml:space="preserve">Another right to be aware of when conducting investigations is the right of your staff against unreasonable searches and </w:t>
            </w:r>
            <w:r>
              <w:rPr>
                <w:rFonts w:ascii="Calibri" w:eastAsia="Calibri" w:hAnsi="Calibri" w:cs="Calibri"/>
              </w:rPr>
              <w:lastRenderedPageBreak/>
              <w:t xml:space="preserve">seizures. </w:t>
            </w:r>
          </w:p>
          <w:p w14:paraId="4BD68332" w14:textId="77777777" w:rsidR="002B6FD6" w:rsidRDefault="00000000">
            <w:pPr>
              <w:widowControl w:val="0"/>
              <w:numPr>
                <w:ilvl w:val="0"/>
                <w:numId w:val="3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You need to consider this when deciding whether to search a staff person’s locker or car or to record one of their conversations.</w:t>
            </w:r>
          </w:p>
          <w:p w14:paraId="7F73EF60" w14:textId="77777777" w:rsidR="002B6FD6" w:rsidRDefault="00000000">
            <w:pPr>
              <w:widowControl w:val="0"/>
              <w:numPr>
                <w:ilvl w:val="0"/>
                <w:numId w:val="3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If there is signage informing the staff that cars in the facility parking lot are subject to search, that lockers within the facility are subject to search, and that phone conversations made from within the facility are subject to recording, then you can make the argument that there was no reasonable expectation of privacy. </w:t>
            </w:r>
          </w:p>
          <w:p w14:paraId="1DB32A64" w14:textId="77777777" w:rsidR="002B6FD6" w:rsidRDefault="00000000">
            <w:pPr>
              <w:widowControl w:val="0"/>
              <w:numPr>
                <w:ilvl w:val="0"/>
                <w:numId w:val="31"/>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However, if those signs are not in place, and there has been no training on this topic, you’ll have to be careful. Consult with legal. Ensure you get a warrant or other appropriate permission before doing anything that may contaminate evidence or inhibit prosecution.</w:t>
            </w:r>
          </w:p>
        </w:tc>
        <w:tc>
          <w:tcPr>
            <w:tcW w:w="1890" w:type="dxa"/>
            <w:tcBorders>
              <w:top w:val="single" w:sz="4" w:space="0" w:color="000000"/>
              <w:left w:val="single" w:sz="4" w:space="0" w:color="000000"/>
              <w:bottom w:val="single" w:sz="4" w:space="0" w:color="000000"/>
              <w:right w:val="single" w:sz="4" w:space="0" w:color="000000"/>
            </w:tcBorders>
          </w:tcPr>
          <w:p w14:paraId="7D6E032F"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48E8F460" wp14:editId="2BF3DA92">
                  <wp:extent cx="508000" cy="342900"/>
                  <wp:effectExtent l="0" t="0" r="0" b="0"/>
                  <wp:docPr id="1096"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007D1F82"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The 4</w:t>
            </w:r>
            <w:r>
              <w:rPr>
                <w:rFonts w:ascii="Calibri" w:eastAsia="Calibri" w:hAnsi="Calibri" w:cs="Calibri"/>
                <w:b/>
                <w:color w:val="000000"/>
                <w:sz w:val="20"/>
                <w:szCs w:val="20"/>
                <w:vertAlign w:val="superscript"/>
              </w:rPr>
              <w:t>th</w:t>
            </w:r>
            <w:r>
              <w:rPr>
                <w:rFonts w:ascii="Calibri" w:eastAsia="Calibri" w:hAnsi="Calibri" w:cs="Calibri"/>
                <w:b/>
                <w:color w:val="000000"/>
                <w:sz w:val="20"/>
                <w:szCs w:val="20"/>
              </w:rPr>
              <w:t xml:space="preserve"> Amendment </w:t>
            </w:r>
          </w:p>
          <w:p w14:paraId="5B2E7466" w14:textId="77777777" w:rsidR="002B6FD6" w:rsidRDefault="002B6FD6">
            <w:pPr>
              <w:tabs>
                <w:tab w:val="left" w:pos="7290"/>
              </w:tabs>
              <w:rPr>
                <w:rFonts w:ascii="Calibri" w:eastAsia="Calibri" w:hAnsi="Calibri" w:cs="Calibri"/>
                <w:b/>
                <w:color w:val="336600"/>
                <w:sz w:val="20"/>
                <w:szCs w:val="20"/>
              </w:rPr>
            </w:pPr>
          </w:p>
        </w:tc>
      </w:tr>
      <w:tr w:rsidR="002B6FD6" w14:paraId="7D3402AC" w14:textId="77777777">
        <w:tc>
          <w:tcPr>
            <w:tcW w:w="900" w:type="dxa"/>
            <w:tcBorders>
              <w:top w:val="single" w:sz="4" w:space="0" w:color="000000"/>
              <w:left w:val="single" w:sz="4" w:space="0" w:color="000000"/>
              <w:bottom w:val="single" w:sz="4" w:space="0" w:color="000000"/>
              <w:right w:val="single" w:sz="4" w:space="0" w:color="000000"/>
            </w:tcBorders>
          </w:tcPr>
          <w:p w14:paraId="1270A6BC"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6B927A2"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Privacy</w:t>
            </w:r>
          </w:p>
          <w:p w14:paraId="08322136"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514E8C2" wp14:editId="4E322C86">
                  <wp:extent cx="2804160" cy="2103120"/>
                  <wp:effectExtent l="38100" t="38100" r="38100" b="38100"/>
                  <wp:docPr id="109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630C04E"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t>Correctional investigators do have an advantage — privacy is different in the institutional context for both inmates and staff. If handled correctly, investigators can have access to these sorts of searches. In addition, “searches” is a broad term that could apply to cameras, cars, purses or cells.</w:t>
            </w:r>
          </w:p>
          <w:p w14:paraId="174E1FD8" w14:textId="77777777" w:rsidR="002B6FD6" w:rsidRDefault="002B6FD6">
            <w:pPr>
              <w:widowControl w:val="0"/>
              <w:spacing w:after="200" w:line="276" w:lineRule="auto"/>
              <w:rPr>
                <w:rFonts w:ascii="Calibri" w:eastAsia="Calibri" w:hAnsi="Calibri" w:cs="Calibri"/>
              </w:rPr>
            </w:pPr>
          </w:p>
          <w:p w14:paraId="2B285B17" w14:textId="77777777" w:rsidR="002B6FD6" w:rsidRDefault="002B6FD6">
            <w:pPr>
              <w:widowControl w:val="0"/>
              <w:spacing w:after="200" w:line="276" w:lineRule="auto"/>
              <w:rPr>
                <w:rFonts w:ascii="Calibri" w:eastAsia="Calibri" w:hAnsi="Calibri" w:cs="Calibri"/>
              </w:rPr>
            </w:pPr>
          </w:p>
        </w:tc>
        <w:tc>
          <w:tcPr>
            <w:tcW w:w="1890" w:type="dxa"/>
            <w:tcBorders>
              <w:top w:val="single" w:sz="4" w:space="0" w:color="000000"/>
              <w:left w:val="single" w:sz="4" w:space="0" w:color="000000"/>
              <w:bottom w:val="single" w:sz="4" w:space="0" w:color="000000"/>
              <w:right w:val="single" w:sz="4" w:space="0" w:color="000000"/>
            </w:tcBorders>
          </w:tcPr>
          <w:p w14:paraId="463B4EFB"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75E2E68B" wp14:editId="1CB368D8">
                  <wp:extent cx="508000" cy="342900"/>
                  <wp:effectExtent l="0" t="0" r="0" b="0"/>
                  <wp:docPr id="1085"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6C51D3EA"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Privacy</w:t>
            </w:r>
          </w:p>
          <w:p w14:paraId="1A3BA4F5" w14:textId="77777777" w:rsidR="002B6FD6" w:rsidRDefault="002B6FD6">
            <w:pPr>
              <w:tabs>
                <w:tab w:val="left" w:pos="7290"/>
              </w:tabs>
              <w:rPr>
                <w:rFonts w:ascii="Calibri" w:eastAsia="Calibri" w:hAnsi="Calibri" w:cs="Calibri"/>
                <w:b/>
                <w:color w:val="336600"/>
                <w:sz w:val="20"/>
                <w:szCs w:val="20"/>
              </w:rPr>
            </w:pPr>
          </w:p>
        </w:tc>
      </w:tr>
      <w:tr w:rsidR="002B6FD6" w14:paraId="32B45CC5" w14:textId="77777777">
        <w:tc>
          <w:tcPr>
            <w:tcW w:w="900" w:type="dxa"/>
            <w:tcBorders>
              <w:top w:val="single" w:sz="4" w:space="0" w:color="000000"/>
              <w:left w:val="single" w:sz="4" w:space="0" w:color="000000"/>
              <w:bottom w:val="single" w:sz="4" w:space="0" w:color="000000"/>
              <w:right w:val="single" w:sz="4" w:space="0" w:color="000000"/>
            </w:tcBorders>
          </w:tcPr>
          <w:p w14:paraId="4F577F1D"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6AB4547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Surveillance</w:t>
            </w:r>
          </w:p>
          <w:p w14:paraId="2319971A"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29C9F42C" wp14:editId="43A8FD52">
                  <wp:extent cx="2804160" cy="2103120"/>
                  <wp:effectExtent l="38100" t="38100" r="38100" b="38100"/>
                  <wp:docPr id="10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7C67E90" w14:textId="77777777" w:rsidR="002B6FD6" w:rsidRDefault="00000000">
            <w:pPr>
              <w:widowControl w:val="0"/>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 xml:space="preserve">Similarly, it is important to give notice if surveillance is possible. </w:t>
            </w:r>
          </w:p>
        </w:tc>
        <w:tc>
          <w:tcPr>
            <w:tcW w:w="1890" w:type="dxa"/>
            <w:tcBorders>
              <w:top w:val="single" w:sz="4" w:space="0" w:color="000000"/>
              <w:left w:val="single" w:sz="4" w:space="0" w:color="000000"/>
              <w:bottom w:val="single" w:sz="4" w:space="0" w:color="000000"/>
              <w:right w:val="single" w:sz="4" w:space="0" w:color="000000"/>
            </w:tcBorders>
          </w:tcPr>
          <w:p w14:paraId="04F2240C"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450B1B9D" wp14:editId="562F344B">
                  <wp:extent cx="508000" cy="342900"/>
                  <wp:effectExtent l="0" t="0" r="0" b="0"/>
                  <wp:docPr id="1089"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585D89A5"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Surveillance</w:t>
            </w:r>
          </w:p>
          <w:p w14:paraId="17765C01"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color w:val="FF0000"/>
                <w:sz w:val="20"/>
                <w:szCs w:val="20"/>
              </w:rPr>
              <w:t>Insert agency policy regarding surveillance.</w:t>
            </w:r>
          </w:p>
        </w:tc>
      </w:tr>
      <w:tr w:rsidR="002B6FD6" w14:paraId="16D38022" w14:textId="77777777">
        <w:tc>
          <w:tcPr>
            <w:tcW w:w="900" w:type="dxa"/>
            <w:tcBorders>
              <w:top w:val="single" w:sz="4" w:space="0" w:color="000000"/>
              <w:left w:val="single" w:sz="4" w:space="0" w:color="000000"/>
              <w:bottom w:val="single" w:sz="4" w:space="0" w:color="000000"/>
              <w:right w:val="single" w:sz="4" w:space="0" w:color="000000"/>
            </w:tcBorders>
          </w:tcPr>
          <w:p w14:paraId="4C57B334"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5B82B03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Employee Surveillance</w:t>
            </w:r>
          </w:p>
          <w:p w14:paraId="3FAF6ED9"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BF60E6A" wp14:editId="5993EB4C">
                  <wp:extent cx="2804160" cy="2103120"/>
                  <wp:effectExtent l="38100" t="38100" r="38100" b="38100"/>
                  <wp:docPr id="108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83C4323" w14:textId="77777777" w:rsidR="002B6FD6" w:rsidRDefault="00000000">
            <w:pPr>
              <w:widowControl w:val="0"/>
              <w:numPr>
                <w:ilvl w:val="0"/>
                <w:numId w:val="21"/>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rPr>
              <w:t xml:space="preserve">Consider whether notice has been given to employees when deciding what methods to use. </w:t>
            </w:r>
          </w:p>
          <w:p w14:paraId="4AE87A6B" w14:textId="77777777" w:rsidR="002B6FD6" w:rsidRDefault="00000000">
            <w:pPr>
              <w:widowControl w:val="0"/>
              <w:numPr>
                <w:ilvl w:val="0"/>
                <w:numId w:val="21"/>
              </w:num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color w:val="000000"/>
              </w:rPr>
              <w:t>Establish how best to balance your employees’ rights with your need for information and safety.</w:t>
            </w:r>
          </w:p>
        </w:tc>
        <w:tc>
          <w:tcPr>
            <w:tcW w:w="1890" w:type="dxa"/>
            <w:tcBorders>
              <w:top w:val="single" w:sz="4" w:space="0" w:color="000000"/>
              <w:left w:val="single" w:sz="4" w:space="0" w:color="000000"/>
              <w:bottom w:val="single" w:sz="4" w:space="0" w:color="000000"/>
              <w:right w:val="single" w:sz="4" w:space="0" w:color="000000"/>
            </w:tcBorders>
          </w:tcPr>
          <w:p w14:paraId="53AD3981"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1AB6A6F1" wp14:editId="6C2F2757">
                  <wp:extent cx="508000" cy="342900"/>
                  <wp:effectExtent l="0" t="0" r="0" b="0"/>
                  <wp:docPr id="107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3783F383" w14:textId="77777777" w:rsidR="002B6FD6" w:rsidRDefault="00000000">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Employee Surveillance</w:t>
            </w:r>
          </w:p>
          <w:p w14:paraId="5C21C6C6" w14:textId="77777777" w:rsidR="002B6FD6" w:rsidRDefault="002B6FD6">
            <w:pPr>
              <w:tabs>
                <w:tab w:val="left" w:pos="7290"/>
              </w:tabs>
              <w:rPr>
                <w:rFonts w:ascii="Calibri" w:eastAsia="Calibri" w:hAnsi="Calibri" w:cs="Calibri"/>
                <w:b/>
                <w:color w:val="336600"/>
                <w:sz w:val="20"/>
                <w:szCs w:val="20"/>
              </w:rPr>
            </w:pPr>
          </w:p>
        </w:tc>
      </w:tr>
      <w:tr w:rsidR="002B6FD6" w14:paraId="2A48EE84" w14:textId="77777777">
        <w:trPr>
          <w:trHeight w:val="980"/>
        </w:trPr>
        <w:tc>
          <w:tcPr>
            <w:tcW w:w="900" w:type="dxa"/>
            <w:tcBorders>
              <w:top w:val="single" w:sz="4" w:space="0" w:color="000000"/>
              <w:left w:val="single" w:sz="4" w:space="0" w:color="000000"/>
              <w:bottom w:val="single" w:sz="4" w:space="0" w:color="000000"/>
              <w:right w:val="single" w:sz="4" w:space="0" w:color="000000"/>
            </w:tcBorders>
          </w:tcPr>
          <w:p w14:paraId="4AE768E6" w14:textId="77777777" w:rsidR="002B6FD6" w:rsidRDefault="00000000">
            <w:pPr>
              <w:tabs>
                <w:tab w:val="left" w:pos="7290"/>
              </w:tabs>
              <w:jc w:val="center"/>
              <w:rPr>
                <w:rFonts w:ascii="Calibri" w:eastAsia="Calibri" w:hAnsi="Calibri" w:cs="Calibri"/>
                <w:b/>
              </w:rPr>
            </w:pPr>
            <w:r>
              <w:rPr>
                <w:rFonts w:ascii="Calibri" w:eastAsia="Calibri" w:hAnsi="Calibri" w:cs="Calibri"/>
                <w:b/>
              </w:rPr>
              <w:t>10 min</w:t>
            </w:r>
          </w:p>
        </w:tc>
        <w:tc>
          <w:tcPr>
            <w:tcW w:w="6570" w:type="dxa"/>
            <w:tcBorders>
              <w:top w:val="single" w:sz="4" w:space="0" w:color="000000"/>
              <w:left w:val="single" w:sz="4" w:space="0" w:color="000000"/>
              <w:bottom w:val="single" w:sz="4" w:space="0" w:color="000000"/>
              <w:right w:val="single" w:sz="4" w:space="0" w:color="000000"/>
            </w:tcBorders>
          </w:tcPr>
          <w:p w14:paraId="2AB02383" w14:textId="1DAB91FD" w:rsidR="002B6FD6" w:rsidRDefault="00000000" w:rsidP="00E5286A">
            <w:pPr>
              <w:widowControl w:val="0"/>
              <w:pBdr>
                <w:top w:val="nil"/>
                <w:left w:val="nil"/>
                <w:bottom w:val="nil"/>
                <w:right w:val="nil"/>
                <w:between w:val="nil"/>
              </w:pBdr>
              <w:spacing w:line="276" w:lineRule="auto"/>
              <w:jc w:val="center"/>
              <w:rPr>
                <w:rFonts w:ascii="Calibri" w:eastAsia="Calibri" w:hAnsi="Calibri" w:cs="Calibri"/>
                <w:b/>
                <w:i/>
                <w:color w:val="000000"/>
              </w:rPr>
            </w:pPr>
            <w:r>
              <w:rPr>
                <w:rFonts w:ascii="Calibri" w:eastAsia="Calibri" w:hAnsi="Calibri" w:cs="Calibri"/>
                <w:b/>
                <w:i/>
                <w:color w:val="000000"/>
              </w:rPr>
              <w:t>Activity: Scenario</w:t>
            </w:r>
          </w:p>
          <w:p w14:paraId="424F17E8" w14:textId="77777777" w:rsidR="002B6FD6" w:rsidRDefault="002B6FD6">
            <w:pPr>
              <w:widowControl w:val="0"/>
              <w:pBdr>
                <w:top w:val="nil"/>
                <w:left w:val="nil"/>
                <w:bottom w:val="nil"/>
                <w:right w:val="nil"/>
                <w:between w:val="nil"/>
              </w:pBdr>
              <w:spacing w:after="200" w:line="276" w:lineRule="auto"/>
              <w:jc w:val="center"/>
              <w:rPr>
                <w:rFonts w:ascii="Calibri" w:eastAsia="Calibri" w:hAnsi="Calibri" w:cs="Calibri"/>
                <w:b/>
                <w:i/>
                <w:color w:val="000000"/>
              </w:rPr>
            </w:pPr>
          </w:p>
        </w:tc>
        <w:tc>
          <w:tcPr>
            <w:tcW w:w="1890" w:type="dxa"/>
            <w:tcBorders>
              <w:top w:val="single" w:sz="4" w:space="0" w:color="000000"/>
              <w:left w:val="single" w:sz="4" w:space="0" w:color="000000"/>
              <w:bottom w:val="single" w:sz="4" w:space="0" w:color="000000"/>
              <w:right w:val="single" w:sz="4" w:space="0" w:color="000000"/>
            </w:tcBorders>
          </w:tcPr>
          <w:p w14:paraId="6F54E569" w14:textId="77777777" w:rsidR="002B6FD6" w:rsidRDefault="002B6FD6">
            <w:pPr>
              <w:tabs>
                <w:tab w:val="left" w:pos="7290"/>
              </w:tabs>
              <w:rPr>
                <w:rFonts w:ascii="Calibri" w:eastAsia="Calibri" w:hAnsi="Calibri" w:cs="Calibri"/>
                <w:b/>
                <w:sz w:val="20"/>
                <w:szCs w:val="20"/>
              </w:rPr>
            </w:pPr>
          </w:p>
          <w:p w14:paraId="26F1EDF3" w14:textId="77777777" w:rsidR="002B6FD6" w:rsidRDefault="002B6FD6">
            <w:pPr>
              <w:tabs>
                <w:tab w:val="left" w:pos="7290"/>
              </w:tabs>
              <w:rPr>
                <w:rFonts w:ascii="Calibri" w:eastAsia="Calibri" w:hAnsi="Calibri" w:cs="Calibri"/>
                <w:b/>
                <w:sz w:val="20"/>
                <w:szCs w:val="20"/>
              </w:rPr>
            </w:pPr>
          </w:p>
          <w:p w14:paraId="2A42400C" w14:textId="77777777" w:rsidR="002B6FD6" w:rsidRDefault="00000000">
            <w:pPr>
              <w:tabs>
                <w:tab w:val="left" w:pos="7290"/>
              </w:tabs>
              <w:rPr>
                <w:rFonts w:ascii="Calibri" w:eastAsia="Calibri" w:hAnsi="Calibri" w:cs="Calibri"/>
                <w:b/>
                <w:sz w:val="20"/>
                <w:szCs w:val="20"/>
              </w:rPr>
            </w:pPr>
            <w:r>
              <w:rPr>
                <w:rFonts w:ascii="Calibri" w:eastAsia="Calibri" w:hAnsi="Calibri" w:cs="Calibri"/>
                <w:noProof/>
                <w:sz w:val="20"/>
                <w:szCs w:val="20"/>
              </w:rPr>
              <w:drawing>
                <wp:inline distT="0" distB="0" distL="0" distR="0" wp14:anchorId="680532DC" wp14:editId="2A7CFE4F">
                  <wp:extent cx="323850" cy="368300"/>
                  <wp:effectExtent l="0" t="0" r="0" b="0"/>
                  <wp:docPr id="1076" name="image35.png" descr="MCBS00263_0000[1]"/>
                  <wp:cNvGraphicFramePr/>
                  <a:graphic xmlns:a="http://schemas.openxmlformats.org/drawingml/2006/main">
                    <a:graphicData uri="http://schemas.openxmlformats.org/drawingml/2006/picture">
                      <pic:pic xmlns:pic="http://schemas.openxmlformats.org/drawingml/2006/picture">
                        <pic:nvPicPr>
                          <pic:cNvPr id="0" name="image35.png" descr="MCBS00263_0000[1]"/>
                          <pic:cNvPicPr preferRelativeResize="0"/>
                        </pic:nvPicPr>
                        <pic:blipFill>
                          <a:blip r:embed="rId86"/>
                          <a:srcRect/>
                          <a:stretch>
                            <a:fillRect/>
                          </a:stretch>
                        </pic:blipFill>
                        <pic:spPr>
                          <a:xfrm>
                            <a:off x="0" y="0"/>
                            <a:ext cx="323850" cy="368300"/>
                          </a:xfrm>
                          <a:prstGeom prst="rect">
                            <a:avLst/>
                          </a:prstGeom>
                          <a:ln/>
                        </pic:spPr>
                      </pic:pic>
                    </a:graphicData>
                  </a:graphic>
                </wp:inline>
              </w:drawing>
            </w:r>
          </w:p>
          <w:p w14:paraId="4A9FCBC0" w14:textId="77777777" w:rsidR="002B6FD6" w:rsidRDefault="002B6FD6">
            <w:pPr>
              <w:tabs>
                <w:tab w:val="left" w:pos="7290"/>
              </w:tabs>
              <w:rPr>
                <w:rFonts w:ascii="Calibri" w:eastAsia="Calibri" w:hAnsi="Calibri" w:cs="Calibri"/>
                <w:b/>
                <w:sz w:val="20"/>
                <w:szCs w:val="20"/>
              </w:rPr>
            </w:pPr>
          </w:p>
          <w:p w14:paraId="07AA9A7F" w14:textId="77777777" w:rsidR="00C440FF" w:rsidRDefault="00000000">
            <w:pPr>
              <w:tabs>
                <w:tab w:val="left" w:pos="7290"/>
              </w:tabs>
              <w:rPr>
                <w:rFonts w:ascii="Calibri" w:eastAsia="Calibri" w:hAnsi="Calibri" w:cs="Calibri"/>
                <w:sz w:val="20"/>
                <w:szCs w:val="20"/>
              </w:rPr>
            </w:pPr>
            <w:r>
              <w:rPr>
                <w:rFonts w:ascii="Calibri" w:eastAsia="Calibri" w:hAnsi="Calibri" w:cs="Calibri"/>
                <w:sz w:val="20"/>
                <w:szCs w:val="20"/>
              </w:rPr>
              <w:t xml:space="preserve">Divide participants into groups of four and have them answer the questions in this scenario. Have one group volunteer to </w:t>
            </w:r>
            <w:r>
              <w:rPr>
                <w:rFonts w:ascii="Calibri" w:eastAsia="Calibri" w:hAnsi="Calibri" w:cs="Calibri"/>
                <w:sz w:val="20"/>
                <w:szCs w:val="20"/>
              </w:rPr>
              <w:lastRenderedPageBreak/>
              <w:t xml:space="preserve">present their answers to the class for discussion. They will have six minutes to work on it and four minutes to report out. </w:t>
            </w:r>
          </w:p>
          <w:p w14:paraId="07B3AD00" w14:textId="77777777" w:rsidR="00C440FF" w:rsidRDefault="00C440FF">
            <w:pPr>
              <w:tabs>
                <w:tab w:val="left" w:pos="7290"/>
              </w:tabs>
              <w:rPr>
                <w:rFonts w:ascii="Calibri" w:eastAsia="Calibri" w:hAnsi="Calibri" w:cs="Calibri"/>
                <w:sz w:val="20"/>
                <w:szCs w:val="20"/>
              </w:rPr>
            </w:pPr>
          </w:p>
          <w:p w14:paraId="6F5851D9" w14:textId="4D10D70A" w:rsidR="002B6FD6" w:rsidRDefault="000B732C">
            <w:pPr>
              <w:tabs>
                <w:tab w:val="left" w:pos="7290"/>
              </w:tabs>
              <w:rPr>
                <w:rFonts w:ascii="Calibri" w:eastAsia="Calibri" w:hAnsi="Calibri" w:cs="Calibri"/>
                <w:sz w:val="20"/>
                <w:szCs w:val="20"/>
              </w:rPr>
            </w:pPr>
            <w:r w:rsidRPr="000B732C">
              <w:rPr>
                <w:rFonts w:ascii="Calibri" w:eastAsia="Calibri" w:hAnsi="Calibri" w:cs="Calibri"/>
                <w:sz w:val="20"/>
                <w:szCs w:val="20"/>
              </w:rPr>
              <w:t xml:space="preserve">Refer to </w:t>
            </w:r>
            <w:r>
              <w:rPr>
                <w:rFonts w:ascii="Calibri" w:eastAsia="Calibri" w:hAnsi="Calibri" w:cs="Calibri"/>
                <w:sz w:val="20"/>
                <w:szCs w:val="20"/>
              </w:rPr>
              <w:t>“</w:t>
            </w:r>
            <w:r w:rsidR="00CE1CBA">
              <w:rPr>
                <w:rFonts w:ascii="Calibri" w:eastAsia="Calibri" w:hAnsi="Calibri" w:cs="Calibri"/>
                <w:sz w:val="20"/>
                <w:szCs w:val="20"/>
              </w:rPr>
              <w:t>Module 2 Legal Issues and Agency Liability”</w:t>
            </w:r>
            <w:r w:rsidRPr="000B732C">
              <w:rPr>
                <w:rFonts w:ascii="Calibri" w:eastAsia="Calibri" w:hAnsi="Calibri" w:cs="Calibri"/>
                <w:sz w:val="20"/>
                <w:szCs w:val="20"/>
              </w:rPr>
              <w:t xml:space="preserve"> attachment</w:t>
            </w:r>
            <w:r w:rsidR="00CE1CBA">
              <w:rPr>
                <w:rFonts w:ascii="Calibri" w:eastAsia="Calibri" w:hAnsi="Calibri" w:cs="Calibri"/>
                <w:sz w:val="20"/>
                <w:szCs w:val="20"/>
              </w:rPr>
              <w:t>.</w:t>
            </w:r>
          </w:p>
        </w:tc>
      </w:tr>
      <w:tr w:rsidR="002B6FD6" w14:paraId="4A5D8672" w14:textId="77777777">
        <w:tc>
          <w:tcPr>
            <w:tcW w:w="900" w:type="dxa"/>
            <w:tcBorders>
              <w:top w:val="single" w:sz="4" w:space="0" w:color="000000"/>
              <w:left w:val="single" w:sz="4" w:space="0" w:color="000000"/>
              <w:bottom w:val="single" w:sz="4" w:space="0" w:color="000000"/>
              <w:right w:val="single" w:sz="4" w:space="0" w:color="000000"/>
            </w:tcBorders>
          </w:tcPr>
          <w:p w14:paraId="4AF2FB05" w14:textId="77777777" w:rsidR="002B6FD6" w:rsidRDefault="000000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6694CA14"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Lessons Learned: Liability</w:t>
            </w:r>
          </w:p>
          <w:p w14:paraId="7519443E"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834F51E" wp14:editId="42AC4043">
                  <wp:extent cx="2804160" cy="2103120"/>
                  <wp:effectExtent l="38100" t="38100" r="38100" b="38100"/>
                  <wp:docPr id="10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655BFCB3" w14:textId="77777777" w:rsidR="002B6FD6" w:rsidRDefault="00000000">
            <w:pPr>
              <w:widowControl w:val="0"/>
              <w:spacing w:line="276" w:lineRule="auto"/>
              <w:ind w:left="720"/>
              <w:rPr>
                <w:rFonts w:ascii="Calibri" w:eastAsia="Calibri" w:hAnsi="Calibri" w:cs="Calibri"/>
              </w:rPr>
            </w:pPr>
            <w:r>
              <w:rPr>
                <w:rFonts w:ascii="Calibri" w:eastAsia="Calibri" w:hAnsi="Calibri" w:cs="Calibri"/>
              </w:rPr>
              <w:t xml:space="preserve">As we mentioned earlier, as an investigator, you have access to information about the agency that many others do not. This information can be used to influence the policies, practice, and leadership of the agency. </w:t>
            </w:r>
          </w:p>
          <w:p w14:paraId="4DE2B41C" w14:textId="77777777" w:rsidR="002B6FD6" w:rsidRDefault="002B6FD6">
            <w:pPr>
              <w:widowControl w:val="0"/>
              <w:spacing w:after="200" w:line="276" w:lineRule="auto"/>
              <w:ind w:left="720"/>
              <w:rPr>
                <w:rFonts w:ascii="Calibri" w:eastAsia="Calibri" w:hAnsi="Calibri" w:cs="Calibri"/>
              </w:rPr>
            </w:pPr>
          </w:p>
        </w:tc>
        <w:tc>
          <w:tcPr>
            <w:tcW w:w="1890" w:type="dxa"/>
            <w:tcBorders>
              <w:top w:val="single" w:sz="4" w:space="0" w:color="000000"/>
              <w:left w:val="single" w:sz="4" w:space="0" w:color="000000"/>
              <w:bottom w:val="single" w:sz="4" w:space="0" w:color="000000"/>
              <w:right w:val="single" w:sz="4" w:space="0" w:color="000000"/>
            </w:tcBorders>
          </w:tcPr>
          <w:p w14:paraId="0D24872B" w14:textId="77777777" w:rsidR="002B6FD6" w:rsidRDefault="00000000">
            <w:pPr>
              <w:tabs>
                <w:tab w:val="left" w:pos="7290"/>
              </w:tabs>
              <w:ind w:left="720"/>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652A254D" wp14:editId="1CE5E872">
                  <wp:extent cx="508000" cy="342900"/>
                  <wp:effectExtent l="0" t="0" r="0" b="0"/>
                  <wp:docPr id="1108"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D622CCD"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sz w:val="20"/>
                <w:szCs w:val="20"/>
              </w:rPr>
              <w:t>Lessons Learned</w:t>
            </w:r>
          </w:p>
        </w:tc>
      </w:tr>
      <w:tr w:rsidR="002B6FD6" w14:paraId="55F2CF81" w14:textId="77777777">
        <w:tc>
          <w:tcPr>
            <w:tcW w:w="900" w:type="dxa"/>
            <w:tcBorders>
              <w:top w:val="single" w:sz="4" w:space="0" w:color="000000"/>
              <w:left w:val="single" w:sz="4" w:space="0" w:color="000000"/>
              <w:bottom w:val="single" w:sz="4" w:space="0" w:color="000000"/>
              <w:right w:val="single" w:sz="4" w:space="0" w:color="000000"/>
            </w:tcBorders>
          </w:tcPr>
          <w:p w14:paraId="00FB9251"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4E28EB2B" w14:textId="77777777" w:rsidR="002B6FD6" w:rsidRDefault="00000000">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 xml:space="preserve">Lessons </w:t>
            </w:r>
            <w:r>
              <w:rPr>
                <w:rFonts w:ascii="Calibri" w:eastAsia="Calibri" w:hAnsi="Calibri" w:cs="Calibri"/>
                <w:b/>
                <w:color w:val="000000"/>
              </w:rPr>
              <w:t>Learned: Liability</w:t>
            </w:r>
          </w:p>
          <w:p w14:paraId="12D29DE0" w14:textId="77777777" w:rsidR="002B6FD6" w:rsidRDefault="00000000">
            <w:pPr>
              <w:widowControl w:val="0"/>
              <w:pBdr>
                <w:top w:val="nil"/>
                <w:left w:val="nil"/>
                <w:bottom w:val="nil"/>
                <w:right w:val="nil"/>
                <w:between w:val="nil"/>
              </w:pBdr>
              <w:spacing w:after="200"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3B131F5A" wp14:editId="67A6938A">
                  <wp:extent cx="2804160" cy="2103120"/>
                  <wp:effectExtent l="38100" t="38100" r="38100" b="38100"/>
                  <wp:docPr id="110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34FF63BB" w14:textId="77777777" w:rsidR="002B6FD6" w:rsidRDefault="00000000">
            <w:pPr>
              <w:widowControl w:val="0"/>
              <w:spacing w:after="200" w:line="276" w:lineRule="auto"/>
              <w:rPr>
                <w:rFonts w:ascii="Calibri" w:eastAsia="Calibri" w:hAnsi="Calibri" w:cs="Calibri"/>
              </w:rPr>
            </w:pPr>
            <w:r>
              <w:rPr>
                <w:rFonts w:ascii="Calibri" w:eastAsia="Calibri" w:hAnsi="Calibri" w:cs="Calibri"/>
              </w:rPr>
              <w:lastRenderedPageBreak/>
              <w:t xml:space="preserve">Examine the patterns that appear throughout your investigations. </w:t>
            </w:r>
          </w:p>
          <w:p w14:paraId="44A1D01B" w14:textId="77777777" w:rsidR="002B6FD6" w:rsidRDefault="00000000">
            <w:pPr>
              <w:widowControl w:val="0"/>
              <w:numPr>
                <w:ilvl w:val="0"/>
                <w:numId w:val="2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What officers are consistently involved in allegations? </w:t>
            </w:r>
          </w:p>
          <w:p w14:paraId="0EB9671D" w14:textId="77777777" w:rsidR="002B6FD6" w:rsidRDefault="00000000">
            <w:pPr>
              <w:widowControl w:val="0"/>
              <w:numPr>
                <w:ilvl w:val="0"/>
                <w:numId w:val="22"/>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What areas of facilities are hot spots? Keep administrators in the loop.</w:t>
            </w:r>
          </w:p>
        </w:tc>
        <w:tc>
          <w:tcPr>
            <w:tcW w:w="1890" w:type="dxa"/>
            <w:tcBorders>
              <w:top w:val="single" w:sz="4" w:space="0" w:color="000000"/>
              <w:left w:val="single" w:sz="4" w:space="0" w:color="000000"/>
              <w:bottom w:val="single" w:sz="4" w:space="0" w:color="000000"/>
              <w:right w:val="single" w:sz="4" w:space="0" w:color="000000"/>
            </w:tcBorders>
          </w:tcPr>
          <w:p w14:paraId="79B58C10"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lastRenderedPageBreak/>
              <w:drawing>
                <wp:inline distT="0" distB="0" distL="0" distR="0" wp14:anchorId="7C76F8C9" wp14:editId="7B33272F">
                  <wp:extent cx="508000" cy="342900"/>
                  <wp:effectExtent l="0" t="0" r="0" b="0"/>
                  <wp:docPr id="1112"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p w14:paraId="44CB3B6C" w14:textId="77777777" w:rsidR="002B6FD6" w:rsidRDefault="00000000">
            <w:pPr>
              <w:tabs>
                <w:tab w:val="left" w:pos="7290"/>
              </w:tabs>
              <w:rPr>
                <w:rFonts w:ascii="Calibri" w:eastAsia="Calibri" w:hAnsi="Calibri" w:cs="Calibri"/>
                <w:b/>
                <w:sz w:val="20"/>
                <w:szCs w:val="20"/>
              </w:rPr>
            </w:pPr>
            <w:r>
              <w:rPr>
                <w:rFonts w:ascii="Calibri" w:eastAsia="Calibri" w:hAnsi="Calibri" w:cs="Calibri"/>
                <w:b/>
                <w:sz w:val="20"/>
                <w:szCs w:val="20"/>
              </w:rPr>
              <w:t>Lessons Learned</w:t>
            </w:r>
          </w:p>
          <w:p w14:paraId="43B37095" w14:textId="77777777" w:rsidR="002B6FD6" w:rsidRDefault="002B6FD6">
            <w:pPr>
              <w:tabs>
                <w:tab w:val="left" w:pos="7290"/>
              </w:tabs>
              <w:rPr>
                <w:rFonts w:ascii="Calibri" w:eastAsia="Calibri" w:hAnsi="Calibri" w:cs="Calibri"/>
                <w:b/>
                <w:color w:val="336600"/>
                <w:sz w:val="20"/>
                <w:szCs w:val="20"/>
              </w:rPr>
            </w:pPr>
          </w:p>
        </w:tc>
      </w:tr>
      <w:tr w:rsidR="002B6FD6" w14:paraId="7EA7F006" w14:textId="77777777">
        <w:trPr>
          <w:trHeight w:val="332"/>
        </w:trPr>
        <w:tc>
          <w:tcPr>
            <w:tcW w:w="900" w:type="dxa"/>
            <w:tcBorders>
              <w:top w:val="single" w:sz="4" w:space="0" w:color="000000"/>
              <w:left w:val="single" w:sz="4" w:space="0" w:color="000000"/>
              <w:bottom w:val="single" w:sz="4" w:space="0" w:color="000000"/>
              <w:right w:val="single" w:sz="4" w:space="0" w:color="000000"/>
            </w:tcBorders>
          </w:tcPr>
          <w:p w14:paraId="5F0F7DB9" w14:textId="77777777" w:rsidR="002B6FD6" w:rsidRDefault="000000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705717B1" w14:textId="77777777" w:rsidR="002B6FD6" w:rsidRDefault="00000000">
            <w:pPr>
              <w:widowControl w:val="0"/>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Questions?</w:t>
            </w:r>
          </w:p>
        </w:tc>
        <w:tc>
          <w:tcPr>
            <w:tcW w:w="1890" w:type="dxa"/>
            <w:tcBorders>
              <w:top w:val="single" w:sz="4" w:space="0" w:color="000000"/>
              <w:left w:val="single" w:sz="4" w:space="0" w:color="000000"/>
              <w:bottom w:val="single" w:sz="4" w:space="0" w:color="000000"/>
              <w:right w:val="single" w:sz="4" w:space="0" w:color="000000"/>
            </w:tcBorders>
          </w:tcPr>
          <w:p w14:paraId="5834DA4F" w14:textId="77777777" w:rsidR="002B6FD6" w:rsidRDefault="00000000">
            <w:pPr>
              <w:tabs>
                <w:tab w:val="left" w:pos="7290"/>
              </w:tabs>
              <w:rPr>
                <w:rFonts w:ascii="Calibri" w:eastAsia="Calibri" w:hAnsi="Calibri" w:cs="Calibri"/>
                <w:b/>
                <w:color w:val="336600"/>
                <w:sz w:val="20"/>
                <w:szCs w:val="20"/>
              </w:rPr>
            </w:pPr>
            <w:r>
              <w:rPr>
                <w:rFonts w:ascii="Calibri" w:eastAsia="Calibri" w:hAnsi="Calibri" w:cs="Calibri"/>
                <w:b/>
                <w:noProof/>
                <w:sz w:val="20"/>
                <w:szCs w:val="20"/>
              </w:rPr>
              <w:drawing>
                <wp:inline distT="0" distB="0" distL="0" distR="0" wp14:anchorId="74733320" wp14:editId="027D58FA">
                  <wp:extent cx="508000" cy="342900"/>
                  <wp:effectExtent l="0" t="0" r="0" b="0"/>
                  <wp:docPr id="1110" name="image5.png" descr="BS00305_"/>
                  <wp:cNvGraphicFramePr/>
                  <a:graphic xmlns:a="http://schemas.openxmlformats.org/drawingml/2006/main">
                    <a:graphicData uri="http://schemas.openxmlformats.org/drawingml/2006/picture">
                      <pic:pic xmlns:pic="http://schemas.openxmlformats.org/drawingml/2006/picture">
                        <pic:nvPicPr>
                          <pic:cNvPr id="0" name="image5.png" descr="BS00305_"/>
                          <pic:cNvPicPr preferRelativeResize="0"/>
                        </pic:nvPicPr>
                        <pic:blipFill>
                          <a:blip r:embed="rId15"/>
                          <a:srcRect/>
                          <a:stretch>
                            <a:fillRect/>
                          </a:stretch>
                        </pic:blipFill>
                        <pic:spPr>
                          <a:xfrm>
                            <a:off x="0" y="0"/>
                            <a:ext cx="508000" cy="342900"/>
                          </a:xfrm>
                          <a:prstGeom prst="rect">
                            <a:avLst/>
                          </a:prstGeom>
                          <a:ln/>
                        </pic:spPr>
                      </pic:pic>
                    </a:graphicData>
                  </a:graphic>
                </wp:inline>
              </w:drawing>
            </w:r>
          </w:p>
        </w:tc>
      </w:tr>
    </w:tbl>
    <w:p w14:paraId="0BB00288" w14:textId="77777777" w:rsidR="002B6FD6" w:rsidRDefault="002B6FD6">
      <w:pPr>
        <w:rPr>
          <w:rFonts w:ascii="Calibri" w:eastAsia="Calibri" w:hAnsi="Calibri" w:cs="Calibri"/>
        </w:rPr>
      </w:pPr>
    </w:p>
    <w:p w14:paraId="7A5DC1B1" w14:textId="30CA5411" w:rsidR="002B6FD6" w:rsidRDefault="002B6FD6">
      <w:pPr>
        <w:spacing w:after="200" w:line="276" w:lineRule="auto"/>
        <w:rPr>
          <w:rFonts w:ascii="Calibri" w:eastAsia="Calibri" w:hAnsi="Calibri" w:cs="Calibri"/>
        </w:rPr>
      </w:pPr>
    </w:p>
    <w:sectPr w:rsidR="002B6FD6">
      <w:footerReference w:type="default" r:id="rId8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2157C" w14:textId="77777777" w:rsidR="00B12AB3" w:rsidRDefault="00B12AB3">
      <w:r>
        <w:separator/>
      </w:r>
    </w:p>
  </w:endnote>
  <w:endnote w:type="continuationSeparator" w:id="0">
    <w:p w14:paraId="4DC04A3A" w14:textId="77777777" w:rsidR="00B12AB3" w:rsidRDefault="00B1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A990" w14:textId="77777777" w:rsidR="002B6FD6" w:rsidRDefault="002B6FD6"/>
  <w:p w14:paraId="3D94E1EA" w14:textId="77777777" w:rsidR="002B6FD6" w:rsidRDefault="00000000">
    <w:pPr>
      <w:rPr>
        <w:rFonts w:ascii="Calibri" w:eastAsia="Calibri" w:hAnsi="Calibri" w:cs="Calibri"/>
        <w:sz w:val="12"/>
        <w:szCs w:val="12"/>
      </w:rPr>
    </w:pPr>
    <w:r>
      <w:rPr>
        <w:rFonts w:ascii="Calibri" w:eastAsia="Calibri" w:hAnsi="Calibri" w:cs="Calibri"/>
        <w:b/>
        <w:i/>
        <w:sz w:val="12"/>
        <w:szCs w:val="12"/>
      </w:rPr>
      <w:t xml:space="preserve">Notice of Federal Funding </w:t>
    </w:r>
    <w:r>
      <w:rPr>
        <w:rFonts w:ascii="Calibri" w:eastAsia="Calibri" w:hAnsi="Calibri" w:cs="Calibri"/>
        <w:b/>
        <w:i/>
        <w:sz w:val="12"/>
        <w:szCs w:val="12"/>
      </w:rPr>
      <w:t>Disclaimer</w:t>
    </w:r>
    <w:r>
      <w:rPr>
        <w:rFonts w:ascii="Calibri" w:eastAsia="Calibri" w:hAnsi="Calibri" w:cs="Calibri"/>
        <w:i/>
        <w:sz w:val="12"/>
        <w:szCs w:val="12"/>
      </w:rPr>
      <w:t xml:space="preserve"> – This project was supported by Grant No. 2010-RP-BX-K001</w:t>
    </w:r>
    <w:r>
      <w:rPr>
        <w:rFonts w:ascii="Calibri" w:eastAsia="Calibri" w:hAnsi="Calibri" w:cs="Calibri"/>
        <w:b/>
        <w:sz w:val="22"/>
        <w:szCs w:val="22"/>
      </w:rPr>
      <w:t xml:space="preserve"> </w:t>
    </w:r>
    <w:r>
      <w:rPr>
        <w:rFonts w:ascii="Calibri" w:eastAsia="Calibri" w:hAnsi="Calibri" w:cs="Calibri"/>
        <w:b/>
        <w:i/>
        <w:sz w:val="12"/>
        <w:szCs w:val="12"/>
      </w:rPr>
      <w:t>and updated by Grant No. 2019-RP-BX-K002,</w:t>
    </w:r>
    <w:r>
      <w:rPr>
        <w:rFonts w:ascii="Calibri" w:eastAsia="Calibri" w:hAnsi="Calibri" w:cs="Calibri"/>
        <w:i/>
        <w:sz w:val="12"/>
        <w:szCs w:val="12"/>
      </w:rPr>
      <w:t> awarded by the Bureau of Justice Assistance. The Bureau of Justice Assistance is a component of the Office of Justice Programs, which also includes the Bureau of Justice Statistics, the National Institute of Justice, the Office of Juvenile Justice and Delinquency Prevention, the Office for Victims of Crime, and the Office of Sex Offender Sentencing, Monitoring, Apprehending, Registering, and Tracki</w:t>
    </w:r>
    <w:r>
      <w:rPr>
        <w:rFonts w:ascii="Calibri" w:eastAsia="Calibri" w:hAnsi="Calibri" w:cs="Calibri"/>
        <w:i/>
        <w:sz w:val="12"/>
        <w:szCs w:val="12"/>
      </w:rPr>
      <w:t>ng. Points of view or opinions in this document are those of the author and do not necessarily represent the official position or policies of the U.S. Department of Justice nor those of Impact Justice (IJ), which administers the National PREA Resource Center through a cooperative agreement with the Bureau of Justice Assistance.</w:t>
    </w:r>
    <w:r>
      <w:rPr>
        <w:rFonts w:ascii="Calibri" w:eastAsia="Calibri" w:hAnsi="Calibri" w:cs="Calibri"/>
        <w:sz w:val="12"/>
        <w:szCs w:val="12"/>
      </w:rPr>
      <w:tab/>
    </w:r>
  </w:p>
  <w:p w14:paraId="13AB975E" w14:textId="77777777" w:rsidR="002B6FD6" w:rsidRDefault="002B6FD6">
    <w:pPr>
      <w:pBdr>
        <w:top w:val="nil"/>
        <w:left w:val="nil"/>
        <w:bottom w:val="nil"/>
        <w:right w:val="nil"/>
        <w:between w:val="nil"/>
      </w:pBdr>
      <w:tabs>
        <w:tab w:val="center" w:pos="4680"/>
        <w:tab w:val="right" w:pos="9360"/>
        <w:tab w:val="left" w:pos="5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790AE" w14:textId="77777777" w:rsidR="002B6FD6" w:rsidRDefault="00000000">
    <w:pPr>
      <w:pBdr>
        <w:top w:val="nil"/>
        <w:left w:val="nil"/>
        <w:bottom w:val="nil"/>
        <w:right w:val="nil"/>
        <w:between w:val="nil"/>
      </w:pBdr>
      <w:tabs>
        <w:tab w:val="center" w:pos="4680"/>
        <w:tab w:val="right" w:pos="9360"/>
        <w:tab w:val="left" w:pos="5640"/>
      </w:tabs>
      <w:rPr>
        <w:color w:val="000000"/>
      </w:rPr>
    </w:pPr>
    <w:r>
      <w:rPr>
        <w:color w:val="000000"/>
      </w:rPr>
      <w:tab/>
    </w:r>
    <w:r>
      <w:rPr>
        <w:color w:val="000000"/>
      </w:rPr>
      <w:fldChar w:fldCharType="begin"/>
    </w:r>
    <w:r>
      <w:rPr>
        <w:color w:val="000000"/>
      </w:rPr>
      <w:instrText>PAGE</w:instrText>
    </w:r>
    <w:r>
      <w:rPr>
        <w:color w:val="000000"/>
      </w:rPr>
      <w:fldChar w:fldCharType="separate"/>
    </w:r>
    <w:r w:rsidR="00964602">
      <w:rPr>
        <w:noProof/>
        <w:color w:val="000000"/>
      </w:rPr>
      <w:t>2</w:t>
    </w:r>
    <w:r>
      <w:rPr>
        <w:color w:val="000000"/>
      </w:rPr>
      <w:fldChar w:fldCharType="end"/>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EB175" w14:textId="10AF7E3C" w:rsidR="002B6FD6"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D37F2">
      <w:rPr>
        <w:noProof/>
        <w:color w:val="000000"/>
      </w:rPr>
      <w:t>3</w:t>
    </w:r>
    <w:r>
      <w:rPr>
        <w:color w:val="000000"/>
      </w:rPr>
      <w:fldChar w:fldCharType="end"/>
    </w:r>
  </w:p>
  <w:p w14:paraId="1F4AC66C" w14:textId="77777777" w:rsidR="002B6FD6" w:rsidRDefault="002B6FD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A64B5" w14:textId="77777777" w:rsidR="00B12AB3" w:rsidRDefault="00B12AB3">
      <w:r>
        <w:separator/>
      </w:r>
    </w:p>
  </w:footnote>
  <w:footnote w:type="continuationSeparator" w:id="0">
    <w:p w14:paraId="7B8519B4" w14:textId="77777777" w:rsidR="00B12AB3" w:rsidRDefault="00B1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151C2" w14:textId="77777777" w:rsidR="002B6FD6"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68F7E6C5" wp14:editId="095CFB32">
          <wp:extent cx="1200150" cy="1200150"/>
          <wp:effectExtent l="0" t="0" r="0" b="0"/>
          <wp:docPr id="1102" name="image33.jpg" descr="C:\Users\reneep\Desktop\Logos\PREA\PREA-logoRGBhirez-020312.jpg"/>
          <wp:cNvGraphicFramePr/>
          <a:graphic xmlns:a="http://schemas.openxmlformats.org/drawingml/2006/main">
            <a:graphicData uri="http://schemas.openxmlformats.org/drawingml/2006/picture">
              <pic:pic xmlns:pic="http://schemas.openxmlformats.org/drawingml/2006/picture">
                <pic:nvPicPr>
                  <pic:cNvPr id="0" name="image33.jpg" descr="C:\Users\reneep\Desktop\Logos\PREA\PREA-logoRGBhirez-020312.jpg"/>
                  <pic:cNvPicPr preferRelativeResize="0"/>
                </pic:nvPicPr>
                <pic:blipFill>
                  <a:blip r:embed="rId1"/>
                  <a:srcRect/>
                  <a:stretch>
                    <a:fillRect/>
                  </a:stretch>
                </pic:blipFill>
                <pic:spPr>
                  <a:xfrm>
                    <a:off x="0" y="0"/>
                    <a:ext cx="1200150" cy="120015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4F1D68A8" wp14:editId="3644D76A">
          <wp:extent cx="2721552" cy="387553"/>
          <wp:effectExtent l="0" t="0" r="0" b="0"/>
          <wp:docPr id="1100" name="image23.png" descr="Description: Moss Group Letterhead"/>
          <wp:cNvGraphicFramePr/>
          <a:graphic xmlns:a="http://schemas.openxmlformats.org/drawingml/2006/main">
            <a:graphicData uri="http://schemas.openxmlformats.org/drawingml/2006/picture">
              <pic:pic xmlns:pic="http://schemas.openxmlformats.org/drawingml/2006/picture">
                <pic:nvPicPr>
                  <pic:cNvPr id="0" name="image23.png" descr="Description: Moss Group Letterhead"/>
                  <pic:cNvPicPr preferRelativeResize="0"/>
                </pic:nvPicPr>
                <pic:blipFill>
                  <a:blip r:embed="rId2"/>
                  <a:srcRect l="6459" t="12069" r="14811" b="11498"/>
                  <a:stretch>
                    <a:fillRect/>
                  </a:stretch>
                </pic:blipFill>
                <pic:spPr>
                  <a:xfrm>
                    <a:off x="0" y="0"/>
                    <a:ext cx="2721552" cy="38755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A8B4F" w14:textId="77777777" w:rsidR="002B6FD6" w:rsidRDefault="00000000">
    <w:pPr>
      <w:pBdr>
        <w:top w:val="nil"/>
        <w:left w:val="nil"/>
        <w:bottom w:val="nil"/>
        <w:right w:val="nil"/>
        <w:between w:val="nil"/>
      </w:pBdr>
      <w:tabs>
        <w:tab w:val="center" w:pos="4320"/>
        <w:tab w:val="right" w:pos="8640"/>
      </w:tabs>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9133E"/>
    <w:multiLevelType w:val="multilevel"/>
    <w:tmpl w:val="BA980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A0AEC"/>
    <w:multiLevelType w:val="multilevel"/>
    <w:tmpl w:val="67E08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0962E3"/>
    <w:multiLevelType w:val="multilevel"/>
    <w:tmpl w:val="D45ECCB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149079C"/>
    <w:multiLevelType w:val="multilevel"/>
    <w:tmpl w:val="4EAA2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0F300D"/>
    <w:multiLevelType w:val="multilevel"/>
    <w:tmpl w:val="18745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AF5B63"/>
    <w:multiLevelType w:val="multilevel"/>
    <w:tmpl w:val="69D2F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FA7D24"/>
    <w:multiLevelType w:val="multilevel"/>
    <w:tmpl w:val="50F42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062453"/>
    <w:multiLevelType w:val="multilevel"/>
    <w:tmpl w:val="5D7E0E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203E21"/>
    <w:multiLevelType w:val="multilevel"/>
    <w:tmpl w:val="69960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32281E"/>
    <w:multiLevelType w:val="multilevel"/>
    <w:tmpl w:val="A08EF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F4F03D4"/>
    <w:multiLevelType w:val="multilevel"/>
    <w:tmpl w:val="F90AB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B350FC"/>
    <w:multiLevelType w:val="multilevel"/>
    <w:tmpl w:val="3A401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D12023"/>
    <w:multiLevelType w:val="multilevel"/>
    <w:tmpl w:val="172A0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2895881"/>
    <w:multiLevelType w:val="multilevel"/>
    <w:tmpl w:val="05562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4FC4F08"/>
    <w:multiLevelType w:val="multilevel"/>
    <w:tmpl w:val="3490FD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78C112D"/>
    <w:multiLevelType w:val="multilevel"/>
    <w:tmpl w:val="3B5CC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8440CD1"/>
    <w:multiLevelType w:val="multilevel"/>
    <w:tmpl w:val="AC4EB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A736E0D"/>
    <w:multiLevelType w:val="multilevel"/>
    <w:tmpl w:val="935A8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0D7085A"/>
    <w:multiLevelType w:val="multilevel"/>
    <w:tmpl w:val="2F0E9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1BE2A15"/>
    <w:multiLevelType w:val="multilevel"/>
    <w:tmpl w:val="2EF48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4B5F1E"/>
    <w:multiLevelType w:val="multilevel"/>
    <w:tmpl w:val="A5261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274625"/>
    <w:multiLevelType w:val="multilevel"/>
    <w:tmpl w:val="67325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8FB707B"/>
    <w:multiLevelType w:val="multilevel"/>
    <w:tmpl w:val="BCA47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8738CF"/>
    <w:multiLevelType w:val="multilevel"/>
    <w:tmpl w:val="5740B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E885F89"/>
    <w:multiLevelType w:val="multilevel"/>
    <w:tmpl w:val="B798F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FE23C39"/>
    <w:multiLevelType w:val="multilevel"/>
    <w:tmpl w:val="4F248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F57F8E"/>
    <w:multiLevelType w:val="multilevel"/>
    <w:tmpl w:val="5A2E0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0266ABD"/>
    <w:multiLevelType w:val="multilevel"/>
    <w:tmpl w:val="266C8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3614602"/>
    <w:multiLevelType w:val="multilevel"/>
    <w:tmpl w:val="DC88D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9BD3F1F"/>
    <w:multiLevelType w:val="multilevel"/>
    <w:tmpl w:val="7BFCE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B917AE8"/>
    <w:multiLevelType w:val="multilevel"/>
    <w:tmpl w:val="ED149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E9C286F"/>
    <w:multiLevelType w:val="multilevel"/>
    <w:tmpl w:val="EC643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695737B"/>
    <w:multiLevelType w:val="multilevel"/>
    <w:tmpl w:val="1110D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B1B1241"/>
    <w:multiLevelType w:val="multilevel"/>
    <w:tmpl w:val="EA1E2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2E55A9"/>
    <w:multiLevelType w:val="multilevel"/>
    <w:tmpl w:val="07800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FD03340"/>
    <w:multiLevelType w:val="multilevel"/>
    <w:tmpl w:val="C56C7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4B6037A"/>
    <w:multiLevelType w:val="multilevel"/>
    <w:tmpl w:val="09241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72C036A"/>
    <w:multiLevelType w:val="multilevel"/>
    <w:tmpl w:val="3BD02DF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8" w15:restartNumberingAfterBreak="0">
    <w:nsid w:val="5868522E"/>
    <w:multiLevelType w:val="multilevel"/>
    <w:tmpl w:val="10F6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A0656F1"/>
    <w:multiLevelType w:val="multilevel"/>
    <w:tmpl w:val="4AF63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FD95127"/>
    <w:multiLevelType w:val="multilevel"/>
    <w:tmpl w:val="0AFA9D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60531A3D"/>
    <w:multiLevelType w:val="multilevel"/>
    <w:tmpl w:val="A51C9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3660952"/>
    <w:multiLevelType w:val="multilevel"/>
    <w:tmpl w:val="7AE29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4696257"/>
    <w:multiLevelType w:val="multilevel"/>
    <w:tmpl w:val="031E0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6B879CF"/>
    <w:multiLevelType w:val="multilevel"/>
    <w:tmpl w:val="86364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83F0952"/>
    <w:multiLevelType w:val="multilevel"/>
    <w:tmpl w:val="8FD8B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A396D9F"/>
    <w:multiLevelType w:val="multilevel"/>
    <w:tmpl w:val="6F1E3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C5551B7"/>
    <w:multiLevelType w:val="multilevel"/>
    <w:tmpl w:val="5E9E4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ED1CF6"/>
    <w:multiLevelType w:val="multilevel"/>
    <w:tmpl w:val="82183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10E70D3"/>
    <w:multiLevelType w:val="multilevel"/>
    <w:tmpl w:val="3920D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395649C"/>
    <w:multiLevelType w:val="multilevel"/>
    <w:tmpl w:val="1848D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689372F"/>
    <w:multiLevelType w:val="multilevel"/>
    <w:tmpl w:val="9006C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75A045A"/>
    <w:multiLevelType w:val="multilevel"/>
    <w:tmpl w:val="2DB25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9A466B4"/>
    <w:multiLevelType w:val="multilevel"/>
    <w:tmpl w:val="87949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D3C390D"/>
    <w:multiLevelType w:val="multilevel"/>
    <w:tmpl w:val="DB0015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2242753">
    <w:abstractNumId w:val="51"/>
  </w:num>
  <w:num w:numId="2" w16cid:durableId="1364403960">
    <w:abstractNumId w:val="10"/>
  </w:num>
  <w:num w:numId="3" w16cid:durableId="1384019775">
    <w:abstractNumId w:val="20"/>
  </w:num>
  <w:num w:numId="4" w16cid:durableId="896861335">
    <w:abstractNumId w:val="24"/>
  </w:num>
  <w:num w:numId="5" w16cid:durableId="1458138307">
    <w:abstractNumId w:val="45"/>
  </w:num>
  <w:num w:numId="6" w16cid:durableId="1794246616">
    <w:abstractNumId w:val="48"/>
  </w:num>
  <w:num w:numId="7" w16cid:durableId="191922089">
    <w:abstractNumId w:val="38"/>
  </w:num>
  <w:num w:numId="8" w16cid:durableId="26878300">
    <w:abstractNumId w:val="35"/>
  </w:num>
  <w:num w:numId="9" w16cid:durableId="326255108">
    <w:abstractNumId w:val="16"/>
  </w:num>
  <w:num w:numId="10" w16cid:durableId="2073770110">
    <w:abstractNumId w:val="32"/>
  </w:num>
  <w:num w:numId="11" w16cid:durableId="1101874493">
    <w:abstractNumId w:val="49"/>
  </w:num>
  <w:num w:numId="12" w16cid:durableId="700517302">
    <w:abstractNumId w:val="29"/>
  </w:num>
  <w:num w:numId="13" w16cid:durableId="1726373986">
    <w:abstractNumId w:val="52"/>
  </w:num>
  <w:num w:numId="14" w16cid:durableId="690184742">
    <w:abstractNumId w:val="54"/>
  </w:num>
  <w:num w:numId="15" w16cid:durableId="439226898">
    <w:abstractNumId w:val="0"/>
  </w:num>
  <w:num w:numId="16" w16cid:durableId="904800571">
    <w:abstractNumId w:val="27"/>
  </w:num>
  <w:num w:numId="17" w16cid:durableId="1586652118">
    <w:abstractNumId w:val="6"/>
  </w:num>
  <w:num w:numId="18" w16cid:durableId="2146191655">
    <w:abstractNumId w:val="17"/>
  </w:num>
  <w:num w:numId="19" w16cid:durableId="187522100">
    <w:abstractNumId w:val="21"/>
  </w:num>
  <w:num w:numId="20" w16cid:durableId="822507413">
    <w:abstractNumId w:val="47"/>
  </w:num>
  <w:num w:numId="21" w16cid:durableId="634943904">
    <w:abstractNumId w:val="41"/>
  </w:num>
  <w:num w:numId="22" w16cid:durableId="746999585">
    <w:abstractNumId w:val="31"/>
  </w:num>
  <w:num w:numId="23" w16cid:durableId="2052880627">
    <w:abstractNumId w:val="28"/>
  </w:num>
  <w:num w:numId="24" w16cid:durableId="1840803598">
    <w:abstractNumId w:val="4"/>
  </w:num>
  <w:num w:numId="25" w16cid:durableId="1900239619">
    <w:abstractNumId w:val="15"/>
  </w:num>
  <w:num w:numId="26" w16cid:durableId="110172705">
    <w:abstractNumId w:val="9"/>
  </w:num>
  <w:num w:numId="27" w16cid:durableId="1859732321">
    <w:abstractNumId w:val="34"/>
  </w:num>
  <w:num w:numId="28" w16cid:durableId="906651108">
    <w:abstractNumId w:val="19"/>
  </w:num>
  <w:num w:numId="29" w16cid:durableId="121774524">
    <w:abstractNumId w:val="46"/>
  </w:num>
  <w:num w:numId="30" w16cid:durableId="706561353">
    <w:abstractNumId w:val="22"/>
  </w:num>
  <w:num w:numId="31" w16cid:durableId="1785684528">
    <w:abstractNumId w:val="13"/>
  </w:num>
  <w:num w:numId="32" w16cid:durableId="554045226">
    <w:abstractNumId w:val="3"/>
  </w:num>
  <w:num w:numId="33" w16cid:durableId="2058965852">
    <w:abstractNumId w:val="5"/>
  </w:num>
  <w:num w:numId="34" w16cid:durableId="1681421292">
    <w:abstractNumId w:val="14"/>
  </w:num>
  <w:num w:numId="35" w16cid:durableId="1970086895">
    <w:abstractNumId w:val="25"/>
  </w:num>
  <w:num w:numId="36" w16cid:durableId="1847556746">
    <w:abstractNumId w:val="2"/>
  </w:num>
  <w:num w:numId="37" w16cid:durableId="1194465147">
    <w:abstractNumId w:val="43"/>
  </w:num>
  <w:num w:numId="38" w16cid:durableId="1242527521">
    <w:abstractNumId w:val="40"/>
  </w:num>
  <w:num w:numId="39" w16cid:durableId="120272889">
    <w:abstractNumId w:val="50"/>
  </w:num>
  <w:num w:numId="40" w16cid:durableId="611326353">
    <w:abstractNumId w:val="42"/>
  </w:num>
  <w:num w:numId="41" w16cid:durableId="1571191793">
    <w:abstractNumId w:val="36"/>
  </w:num>
  <w:num w:numId="42" w16cid:durableId="1652564927">
    <w:abstractNumId w:val="37"/>
  </w:num>
  <w:num w:numId="43" w16cid:durableId="1208837675">
    <w:abstractNumId w:val="44"/>
  </w:num>
  <w:num w:numId="44" w16cid:durableId="1733648966">
    <w:abstractNumId w:val="7"/>
  </w:num>
  <w:num w:numId="45" w16cid:durableId="667442394">
    <w:abstractNumId w:val="11"/>
  </w:num>
  <w:num w:numId="46" w16cid:durableId="1063215597">
    <w:abstractNumId w:val="39"/>
  </w:num>
  <w:num w:numId="47" w16cid:durableId="1743866402">
    <w:abstractNumId w:val="8"/>
  </w:num>
  <w:num w:numId="48" w16cid:durableId="632103050">
    <w:abstractNumId w:val="1"/>
  </w:num>
  <w:num w:numId="49" w16cid:durableId="1566791299">
    <w:abstractNumId w:val="12"/>
  </w:num>
  <w:num w:numId="50" w16cid:durableId="1546526572">
    <w:abstractNumId w:val="30"/>
  </w:num>
  <w:num w:numId="51" w16cid:durableId="1267426430">
    <w:abstractNumId w:val="18"/>
  </w:num>
  <w:num w:numId="52" w16cid:durableId="1730029772">
    <w:abstractNumId w:val="33"/>
  </w:num>
  <w:num w:numId="53" w16cid:durableId="250821702">
    <w:abstractNumId w:val="23"/>
  </w:num>
  <w:num w:numId="54" w16cid:durableId="726684120">
    <w:abstractNumId w:val="26"/>
  </w:num>
  <w:num w:numId="55" w16cid:durableId="1283421852">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FD6"/>
    <w:rsid w:val="000B732C"/>
    <w:rsid w:val="00156590"/>
    <w:rsid w:val="00163F39"/>
    <w:rsid w:val="00193283"/>
    <w:rsid w:val="00237F82"/>
    <w:rsid w:val="00286613"/>
    <w:rsid w:val="002B6FD6"/>
    <w:rsid w:val="005841D1"/>
    <w:rsid w:val="00597CC3"/>
    <w:rsid w:val="005D37F2"/>
    <w:rsid w:val="00767B6D"/>
    <w:rsid w:val="00854028"/>
    <w:rsid w:val="008C5D00"/>
    <w:rsid w:val="00964602"/>
    <w:rsid w:val="00B12AB3"/>
    <w:rsid w:val="00C440FF"/>
    <w:rsid w:val="00CE1CBA"/>
    <w:rsid w:val="00D2515B"/>
    <w:rsid w:val="00DA43AC"/>
    <w:rsid w:val="00E5286A"/>
    <w:rsid w:val="00EC5DB3"/>
    <w:rsid w:val="00F8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C481"/>
  <w15:docId w15:val="{E416EB3B-EBE5-4443-BDA6-A4075EF4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4C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8164C6"/>
    <w:pPr>
      <w:tabs>
        <w:tab w:val="center" w:pos="4320"/>
        <w:tab w:val="right" w:pos="8640"/>
      </w:tabs>
    </w:pPr>
  </w:style>
  <w:style w:type="character" w:customStyle="1" w:styleId="HeaderChar">
    <w:name w:val="Header Char"/>
    <w:basedOn w:val="DefaultParagraphFont"/>
    <w:link w:val="Header"/>
    <w:rsid w:val="008164C6"/>
    <w:rPr>
      <w:rFonts w:ascii="Times New Roman" w:eastAsia="Times New Roman" w:hAnsi="Times New Roman" w:cs="Times New Roman"/>
      <w:sz w:val="24"/>
      <w:szCs w:val="24"/>
    </w:rPr>
  </w:style>
  <w:style w:type="paragraph" w:styleId="ListParagraph">
    <w:name w:val="List Paragraph"/>
    <w:basedOn w:val="Normal"/>
    <w:uiPriority w:val="34"/>
    <w:qFormat/>
    <w:rsid w:val="008164C6"/>
    <w:pPr>
      <w:spacing w:after="120"/>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8164C6"/>
    <w:rPr>
      <w:rFonts w:ascii="Tahoma" w:hAnsi="Tahoma" w:cs="Tahoma"/>
      <w:sz w:val="16"/>
      <w:szCs w:val="16"/>
    </w:rPr>
  </w:style>
  <w:style w:type="character" w:customStyle="1" w:styleId="BalloonTextChar">
    <w:name w:val="Balloon Text Char"/>
    <w:basedOn w:val="DefaultParagraphFont"/>
    <w:link w:val="BalloonText"/>
    <w:uiPriority w:val="99"/>
    <w:semiHidden/>
    <w:rsid w:val="008164C6"/>
    <w:rPr>
      <w:rFonts w:ascii="Tahoma" w:eastAsia="Times New Roman" w:hAnsi="Tahoma" w:cs="Tahoma"/>
      <w:sz w:val="16"/>
      <w:szCs w:val="16"/>
    </w:rPr>
  </w:style>
  <w:style w:type="character" w:styleId="PageNumber">
    <w:name w:val="page number"/>
    <w:basedOn w:val="DefaultParagraphFont"/>
    <w:rsid w:val="00DA2FDB"/>
  </w:style>
  <w:style w:type="paragraph" w:styleId="Footer">
    <w:name w:val="footer"/>
    <w:basedOn w:val="Normal"/>
    <w:link w:val="FooterChar"/>
    <w:uiPriority w:val="99"/>
    <w:unhideWhenUsed/>
    <w:rsid w:val="00774DEA"/>
    <w:pPr>
      <w:tabs>
        <w:tab w:val="center" w:pos="4680"/>
        <w:tab w:val="right" w:pos="9360"/>
      </w:tabs>
    </w:pPr>
  </w:style>
  <w:style w:type="character" w:customStyle="1" w:styleId="FooterChar">
    <w:name w:val="Footer Char"/>
    <w:basedOn w:val="DefaultParagraphFont"/>
    <w:link w:val="Footer"/>
    <w:uiPriority w:val="99"/>
    <w:rsid w:val="00774DEA"/>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83E64"/>
    <w:rPr>
      <w:sz w:val="16"/>
      <w:szCs w:val="16"/>
    </w:rPr>
  </w:style>
  <w:style w:type="paragraph" w:styleId="CommentText">
    <w:name w:val="annotation text"/>
    <w:basedOn w:val="Normal"/>
    <w:link w:val="CommentTextChar"/>
    <w:uiPriority w:val="99"/>
    <w:unhideWhenUsed/>
    <w:rsid w:val="00D83E64"/>
    <w:rPr>
      <w:sz w:val="20"/>
      <w:szCs w:val="20"/>
    </w:rPr>
  </w:style>
  <w:style w:type="character" w:customStyle="1" w:styleId="CommentTextChar">
    <w:name w:val="Comment Text Char"/>
    <w:basedOn w:val="DefaultParagraphFont"/>
    <w:link w:val="CommentText"/>
    <w:uiPriority w:val="99"/>
    <w:rsid w:val="00D83E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3E64"/>
    <w:rPr>
      <w:b/>
      <w:bCs/>
    </w:rPr>
  </w:style>
  <w:style w:type="character" w:customStyle="1" w:styleId="CommentSubjectChar">
    <w:name w:val="Comment Subject Char"/>
    <w:basedOn w:val="CommentTextChar"/>
    <w:link w:val="CommentSubject"/>
    <w:uiPriority w:val="99"/>
    <w:semiHidden/>
    <w:rsid w:val="00D83E64"/>
    <w:rPr>
      <w:rFonts w:ascii="Times New Roman" w:eastAsia="Times New Roman" w:hAnsi="Times New Roman" w:cs="Times New Roman"/>
      <w:b/>
      <w:bCs/>
      <w:sz w:val="20"/>
      <w:szCs w:val="20"/>
    </w:rPr>
  </w:style>
  <w:style w:type="paragraph" w:styleId="Revision">
    <w:name w:val="Revision"/>
    <w:hidden/>
    <w:uiPriority w:val="99"/>
    <w:semiHidden/>
    <w:rsid w:val="00D83E64"/>
  </w:style>
  <w:style w:type="paragraph" w:styleId="NoSpacing">
    <w:name w:val="No Spacing"/>
    <w:uiPriority w:val="1"/>
    <w:qFormat/>
    <w:rsid w:val="007F69D3"/>
    <w:pPr>
      <w:jc w:val="both"/>
    </w:pPr>
    <w:rPr>
      <w:rFonts w:eastAsia="Calibri"/>
      <w:lang w:val="en-GB"/>
    </w:rPr>
  </w:style>
  <w:style w:type="character" w:styleId="Hyperlink">
    <w:name w:val="Hyperlink"/>
    <w:basedOn w:val="DefaultParagraphFont"/>
    <w:uiPriority w:val="99"/>
    <w:unhideWhenUsed/>
    <w:rsid w:val="00C83672"/>
    <w:rPr>
      <w:color w:val="0000FF" w:themeColor="hyperlink"/>
      <w:u w:val="single"/>
    </w:rPr>
  </w:style>
  <w:style w:type="character" w:styleId="UnresolvedMention">
    <w:name w:val="Unresolved Mention"/>
    <w:basedOn w:val="DefaultParagraphFont"/>
    <w:uiPriority w:val="99"/>
    <w:semiHidden/>
    <w:unhideWhenUsed/>
    <w:rsid w:val="00C8367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oter" Target="footer3.xml"/><Relationship Id="rId16"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hyperlink" Target="https://www.youtube.com/watch?v=T45aF1NLMyM"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T0BI/CjEzz8PPHivE9ChxwSLQ==">AMUW2mVtpWuAxjP0CmtRUtmyQ1ztRusJfon1xCZtZqjaMqC+OzS+Hxal504Z0gThQ6xEZwjoo0CzonSZlO0N1llg56Yli1wfmcex4FeF5Z0N0GLup4ClAbb5wC3ACWdZ5fgSHi3dhSYCwZK4+6V5TgCIvjLHVY1lFNwlB7UrTF63vq3oZwexVsLhgk6q/o7TVJSI3JIN/ad9ZLl/n73uUvvqnif4nuqgBKwKs0rM8JjZPc+YJoTRX+3wuIasstG6bnFSt61gRWXvZrSICjpt+9LWVNQbjG9xRyd/oI5LP2oaeMC06eVAxe9EUlGKWAcyoTss++fixarkcPRxkP2r2kMgm4XZGsCPfWQ7mM61JLzDBIgB0jIcb9spzc3s8EuAaaRD2s0KsSFcqkAed7RIcBLHSCJUnfQNlT1olr3okA5I3/qH78uGJeL9ygo6oWhQH5en8CyHB2E5iiqwAch2tuyI8cTpwEDL3zpRfCcJ3kIVTYIHli6VYJ81yqRXRKb72qi5l55glfAtI5K3cgm0Wix6dCxpyEFVU5Lgqkkc1vHPmSg3MKrrbbuiwff6ZreH8+WlG0JxetV1YidkLQsIYC9nf1NOYawY0Q0zwYCV0qiCOxF6DaienVA+kvpA7PM5dr4LDEZauttzOHGx7fAnU6YsGlgLKL4CEsJ/QJINjSbaTnGRLQtsu3ZCh2PW75GfOTlDHaZvfqGwvpJysO/lBpv7c9lDlw9cUkXyyGJJpVEq9xqu93kz1q+MOkXV+kQXs8M+C6MdBfI67qWaO1HB7+IWJW+CD+hI+ikYhAA1fzgiH0reJPgv1aQVYQkHeXhdBrt7RPHa84izvakw+c5eSw7OuRqTlDFhZrAXdiaLp+1SSzxTiRvYhYW27DCAzzp7LSjI4GjHQakWngglWK11UerrqwEkQ9qWhHxNRDkULg9PsKyGaXmZhA4kJZlx8VRcVYlAEn1t3ea9VtmtsE4syu7a+M0R+OJD8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18fde337-0ae5-4448-91d4-1aac2e7d3530" xsi:nil="true"/>
    <lcf76f155ced4ddcb4097134ff3c332f xmlns="6cb6fab5-1093-4a67-bcb3-ba6e660cb04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38592398667449DC54AED30198904" ma:contentTypeVersion="15" ma:contentTypeDescription="Create a new document." ma:contentTypeScope="" ma:versionID="b7d5fe17e30a5785b46928f340c80dd2">
  <xsd:schema xmlns:xsd="http://www.w3.org/2001/XMLSchema" xmlns:xs="http://www.w3.org/2001/XMLSchema" xmlns:p="http://schemas.microsoft.com/office/2006/metadata/properties" xmlns:ns2="6cb6fab5-1093-4a67-bcb3-ba6e660cb04a" xmlns:ns3="18fde337-0ae5-4448-91d4-1aac2e7d3530" targetNamespace="http://schemas.microsoft.com/office/2006/metadata/properties" ma:root="true" ma:fieldsID="ee62e026e387dda4137540b4628cdd7c" ns2:_="" ns3:_="">
    <xsd:import namespace="6cb6fab5-1093-4a67-bcb3-ba6e660cb04a"/>
    <xsd:import namespace="18fde337-0ae5-4448-91d4-1aac2e7d3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fab5-1093-4a67-bcb3-ba6e660c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bf5b8b-ed8d-4f72-8678-697285c04e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de337-0ae5-4448-91d4-1aac2e7d3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1030c90-eec1-40d1-a414-de1a0517bdfb}" ma:internalName="TaxCatchAll" ma:showField="CatchAllData" ma:web="18fde337-0ae5-4448-91d4-1aac2e7d3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C11377-96F7-4917-AF2C-FF48CC2897C3}">
  <ds:schemaRefs>
    <ds:schemaRef ds:uri="http://schemas.microsoft.com/office/2006/metadata/properties"/>
    <ds:schemaRef ds:uri="http://schemas.microsoft.com/office/infopath/2007/PartnerControls"/>
    <ds:schemaRef ds:uri="18fde337-0ae5-4448-91d4-1aac2e7d3530"/>
    <ds:schemaRef ds:uri="6cb6fab5-1093-4a67-bcb3-ba6e660cb04a"/>
  </ds:schemaRefs>
</ds:datastoreItem>
</file>

<file path=customXml/itemProps3.xml><?xml version="1.0" encoding="utf-8"?>
<ds:datastoreItem xmlns:ds="http://schemas.openxmlformats.org/officeDocument/2006/customXml" ds:itemID="{4672A66A-3ED9-4858-A7E3-2D667886BB47}">
  <ds:schemaRefs>
    <ds:schemaRef ds:uri="http://schemas.microsoft.com/sharepoint/v3/contenttype/forms"/>
  </ds:schemaRefs>
</ds:datastoreItem>
</file>

<file path=customXml/itemProps4.xml><?xml version="1.0" encoding="utf-8"?>
<ds:datastoreItem xmlns:ds="http://schemas.openxmlformats.org/officeDocument/2006/customXml" ds:itemID="{73B8FFBA-B9AC-4E6D-958D-CDB38ED5D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fab5-1093-4a67-bcb3-ba6e660cb04a"/>
    <ds:schemaRef ds:uri="18fde337-0ae5-4448-91d4-1aac2e7d3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44</Pages>
  <Words>5337</Words>
  <Characters>28557</Characters>
  <Application>Microsoft Office Word</Application>
  <DocSecurity>0</DocSecurity>
  <Lines>528</Lines>
  <Paragraphs>140</Paragraphs>
  <ScaleCrop>false</ScaleCrop>
  <Company/>
  <LinksUpToDate>false</LinksUpToDate>
  <CharactersWithSpaces>33754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Bosley</dc:creator>
  <cp:lastModifiedBy>Caleb Asbridge</cp:lastModifiedBy>
  <cp:revision>10</cp:revision>
  <dcterms:created xsi:type="dcterms:W3CDTF">2024-06-18T15:00:00Z</dcterms:created>
  <dcterms:modified xsi:type="dcterms:W3CDTF">2024-06-18T16:01:00Z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0x010100F7238592398667449DC54AED30198904</vt:lpwstr>
  </property>
  <property fmtid="{D5CDD505-2E9C-101B-9397-08002B2CF9AE}" pid="3" name="Project">
    <vt:lpwstr>1103;#766B PREA - TA ＆ Training Work Group|0673e7a9-f62d-4bfc-8515-b2cbe9904fc5</vt:lpwstr>
  </property>
  <property fmtid="{D5CDD505-2E9C-101B-9397-08002B2CF9AE}" pid="4" name="ProjectActivity">
    <vt:lpwstr/>
  </property>
  <property fmtid="{D5CDD505-2E9C-101B-9397-08002B2CF9AE}" pid="5" name="DocumentType">
    <vt:lpwstr/>
  </property>
  <property fmtid="{D5CDD505-2E9C-101B-9397-08002B2CF9AE}" pid="6" name="NCCDOffice">
    <vt:lpwstr>324;#Madison|3dd15d7c-466b-4f2e-a1e7-1efea7a709d1</vt:lpwstr>
  </property>
  <property fmtid="{D5CDD505-2E9C-101B-9397-08002B2CF9AE}" pid="7" name="ProjectFamily">
    <vt:lpwstr/>
  </property>
  <property fmtid="{D5CDD505-2E9C-101B-9397-08002B2CF9AE}" pid="8" name="TaxKeyword">
    <vt:lpwstr/>
  </property>
  <property fmtid="{D5CDD505-2E9C-101B-9397-08002B2CF9AE}" pid="9" name="Order">
    <vt:r8>126300</vt:r8>
  </property>
  <property fmtid="{D5CDD505-2E9C-101B-9397-08002B2CF9AE}" pid="10" name="xd_Signature">
    <vt:bool>false</vt:bool>
  </property>
  <property fmtid="{D5CDD505-2E9C-101B-9397-08002B2CF9AE}" pid="11" name="xd_ProgID">
    <vt:lpwstr/>
  </property>
  <property fmtid="{D5CDD505-2E9C-101B-9397-08002B2CF9AE}" pid="12" name="_ExtendedDescription">
    <vt:lpwstr/>
  </property>
  <property fmtid="{D5CDD505-2E9C-101B-9397-08002B2CF9AE}" pid="13" name="TemplateUrl">
    <vt:lpwstr/>
  </property>
  <property fmtid="{D5CDD505-2E9C-101B-9397-08002B2CF9AE}" pid="14" name="ComplianceAssetId">
    <vt:lpwstr/>
  </property>
  <property fmtid="{D5CDD505-2E9C-101B-9397-08002B2CF9AE}" pid="15" name="MediaServiceImageTags">
    <vt:lpwstr/>
  </property>
  <property fmtid="{D5CDD505-2E9C-101B-9397-08002B2CF9AE}" pid="16" name="TriggerFlowInfo">
    <vt:lpwstr/>
  </property>
</Properties>
</file>